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96676" w14:textId="362B5ED2" w:rsidR="00A37638" w:rsidRPr="00B662AC" w:rsidRDefault="00C02D3D" w:rsidP="00B662AC">
      <w:pPr>
        <w:pStyle w:val="Heading2"/>
        <w:spacing w:line="360" w:lineRule="auto"/>
        <w:rPr>
          <w:rFonts w:ascii="Times New Roman" w:hAnsi="Times New Roman" w:cs="Times New Roman"/>
          <w:sz w:val="22"/>
          <w:szCs w:val="22"/>
        </w:rPr>
      </w:pPr>
      <w:r w:rsidRPr="00B662AC">
        <w:rPr>
          <w:rFonts w:ascii="Times New Roman" w:hAnsi="Times New Roman" w:cs="Times New Roman"/>
          <w:sz w:val="22"/>
          <w:szCs w:val="22"/>
        </w:rPr>
        <w:t>Perioperative Care</w:t>
      </w:r>
    </w:p>
    <w:p w14:paraId="19D94318" w14:textId="77777777" w:rsidR="006675B1" w:rsidRPr="00B662AC" w:rsidRDefault="006675B1" w:rsidP="00B662AC">
      <w:pPr>
        <w:spacing w:line="360" w:lineRule="auto"/>
        <w:rPr>
          <w:rFonts w:ascii="Times New Roman" w:hAnsi="Times New Roman" w:cs="Times New Roman"/>
          <w:sz w:val="20"/>
          <w:szCs w:val="20"/>
        </w:rPr>
      </w:pPr>
    </w:p>
    <w:p w14:paraId="360B42F0" w14:textId="3960E175" w:rsidR="00A37638" w:rsidRPr="00B662AC" w:rsidRDefault="00C02D3D" w:rsidP="00B662AC">
      <w:pPr>
        <w:spacing w:line="360" w:lineRule="auto"/>
        <w:rPr>
          <w:rFonts w:ascii="Times New Roman" w:hAnsi="Times New Roman" w:cs="Times New Roman"/>
          <w:b/>
          <w:bCs/>
          <w:sz w:val="20"/>
          <w:szCs w:val="20"/>
        </w:rPr>
      </w:pPr>
      <w:r w:rsidRPr="00B662AC">
        <w:rPr>
          <w:rFonts w:ascii="Times New Roman" w:hAnsi="Times New Roman" w:cs="Times New Roman"/>
          <w:b/>
          <w:bCs/>
          <w:sz w:val="20"/>
          <w:szCs w:val="20"/>
        </w:rPr>
        <w:t>Pre-operative screening:</w:t>
      </w:r>
      <w:r w:rsidR="00B662AC">
        <w:rPr>
          <w:rFonts w:ascii="Times New Roman" w:hAnsi="Times New Roman" w:cs="Times New Roman"/>
          <w:b/>
          <w:bCs/>
          <w:sz w:val="20"/>
          <w:szCs w:val="20"/>
        </w:rPr>
        <w:t xml:space="preserve"> </w:t>
      </w:r>
      <w:r w:rsidRPr="00B662AC">
        <w:rPr>
          <w:rFonts w:ascii="Times New Roman" w:hAnsi="Times New Roman" w:cs="Times New Roman"/>
          <w:sz w:val="20"/>
          <w:szCs w:val="20"/>
        </w:rPr>
        <w:t>All patients visited the pre-operative outpatient clinic. After admittance, all patients were assessed by an anesthesiologist and a thoracic surgeon on the day before surgery. In case of suspicion of an active infection e.g. on the basis of respiratory symptoms or elevated temperature, surgery  was postponed.</w:t>
      </w:r>
    </w:p>
    <w:p w14:paraId="37945AE3" w14:textId="66C10876" w:rsidR="00A37638" w:rsidRPr="00B662AC" w:rsidRDefault="00C02D3D" w:rsidP="00B662AC">
      <w:pPr>
        <w:spacing w:before="240" w:after="240" w:line="360" w:lineRule="auto"/>
        <w:rPr>
          <w:rFonts w:ascii="Times New Roman" w:hAnsi="Times New Roman" w:cs="Times New Roman"/>
          <w:b/>
          <w:bCs/>
          <w:sz w:val="20"/>
          <w:szCs w:val="20"/>
        </w:rPr>
      </w:pPr>
      <w:proofErr w:type="spellStart"/>
      <w:r w:rsidRPr="00B662AC">
        <w:rPr>
          <w:rFonts w:ascii="Times New Roman" w:hAnsi="Times New Roman" w:cs="Times New Roman"/>
          <w:b/>
          <w:bCs/>
          <w:sz w:val="20"/>
          <w:szCs w:val="20"/>
        </w:rPr>
        <w:t>Anaesthesia</w:t>
      </w:r>
      <w:proofErr w:type="spellEnd"/>
      <w:r w:rsidRPr="00B662AC">
        <w:rPr>
          <w:rFonts w:ascii="Times New Roman" w:hAnsi="Times New Roman" w:cs="Times New Roman"/>
          <w:b/>
          <w:bCs/>
          <w:sz w:val="20"/>
          <w:szCs w:val="20"/>
        </w:rPr>
        <w:t>:</w:t>
      </w:r>
      <w:r w:rsidR="00B662AC">
        <w:rPr>
          <w:rFonts w:ascii="Times New Roman" w:hAnsi="Times New Roman" w:cs="Times New Roman"/>
          <w:b/>
          <w:bCs/>
          <w:sz w:val="20"/>
          <w:szCs w:val="20"/>
        </w:rPr>
        <w:t xml:space="preserve"> </w:t>
      </w:r>
      <w:r w:rsidRPr="00B662AC">
        <w:rPr>
          <w:rFonts w:ascii="Times New Roman" w:hAnsi="Times New Roman" w:cs="Times New Roman"/>
          <w:sz w:val="20"/>
          <w:szCs w:val="20"/>
        </w:rPr>
        <w:t xml:space="preserve">Standard premedication and induction medication were followed by total intravenous </w:t>
      </w:r>
      <w:proofErr w:type="spellStart"/>
      <w:r w:rsidRPr="00B662AC">
        <w:rPr>
          <w:rFonts w:ascii="Times New Roman" w:hAnsi="Times New Roman" w:cs="Times New Roman"/>
          <w:sz w:val="20"/>
          <w:szCs w:val="20"/>
        </w:rPr>
        <w:t>anaesthesia</w:t>
      </w:r>
      <w:proofErr w:type="spellEnd"/>
      <w:r w:rsidRPr="00B662AC">
        <w:rPr>
          <w:rFonts w:ascii="Times New Roman" w:hAnsi="Times New Roman" w:cs="Times New Roman"/>
          <w:sz w:val="20"/>
          <w:szCs w:val="20"/>
        </w:rPr>
        <w:t xml:space="preserve">. All patients received a central venous and an arterial catheter, standard surgical antibiotic prophylaxis, and tranexamic acid (loading dose 15 mg/kg anticipating a </w:t>
      </w:r>
      <w:proofErr w:type="spellStart"/>
      <w:r w:rsidRPr="00B662AC">
        <w:rPr>
          <w:rFonts w:ascii="Times New Roman" w:hAnsi="Times New Roman" w:cs="Times New Roman"/>
          <w:sz w:val="20"/>
          <w:szCs w:val="20"/>
        </w:rPr>
        <w:t>perfusor</w:t>
      </w:r>
      <w:proofErr w:type="spellEnd"/>
      <w:r w:rsidRPr="00B662AC">
        <w:rPr>
          <w:rFonts w:ascii="Times New Roman" w:hAnsi="Times New Roman" w:cs="Times New Roman"/>
          <w:sz w:val="20"/>
          <w:szCs w:val="20"/>
        </w:rPr>
        <w:t xml:space="preserve"> 5 mg/kg/</w:t>
      </w:r>
      <w:proofErr w:type="spellStart"/>
      <w:r w:rsidRPr="00B662AC">
        <w:rPr>
          <w:rFonts w:ascii="Times New Roman" w:hAnsi="Times New Roman" w:cs="Times New Roman"/>
          <w:sz w:val="20"/>
          <w:szCs w:val="20"/>
        </w:rPr>
        <w:t>hr</w:t>
      </w:r>
      <w:proofErr w:type="spellEnd"/>
      <w:r w:rsidRPr="00B662AC">
        <w:rPr>
          <w:rFonts w:ascii="Times New Roman" w:hAnsi="Times New Roman" w:cs="Times New Roman"/>
          <w:sz w:val="20"/>
          <w:szCs w:val="20"/>
        </w:rPr>
        <w:t xml:space="preserve">) to </w:t>
      </w:r>
      <w:proofErr w:type="spellStart"/>
      <w:r w:rsidRPr="00B662AC">
        <w:rPr>
          <w:rFonts w:ascii="Times New Roman" w:hAnsi="Times New Roman" w:cs="Times New Roman"/>
          <w:sz w:val="20"/>
          <w:szCs w:val="20"/>
        </w:rPr>
        <w:t>minimise</w:t>
      </w:r>
      <w:proofErr w:type="spellEnd"/>
      <w:r w:rsidRPr="00B662AC">
        <w:rPr>
          <w:rFonts w:ascii="Times New Roman" w:hAnsi="Times New Roman" w:cs="Times New Roman"/>
          <w:sz w:val="20"/>
          <w:szCs w:val="20"/>
        </w:rPr>
        <w:t xml:space="preserve"> perioperative blood loss. Mechanical ventilation consisted of a standard protocol with low pressure and low tidal volume during CPB to prevent atelectasis of the lung. Inotropic and vasoactive agents were </w:t>
      </w:r>
      <w:r w:rsidRPr="00B662AC">
        <w:rPr>
          <w:rFonts w:ascii="Times New Roman" w:hAnsi="Times New Roman" w:cs="Times New Roman"/>
          <w:sz w:val="20"/>
          <w:szCs w:val="20"/>
          <w:highlight w:val="white"/>
        </w:rPr>
        <w:t>administered on indication.  Applied transfusion triggers were congruent with the national guidelines</w:t>
      </w:r>
      <w:r w:rsidR="00755957" w:rsidRPr="00B662AC">
        <w:rPr>
          <w:rFonts w:ascii="Times New Roman" w:hAnsi="Times New Roman" w:cs="Times New Roman"/>
          <w:sz w:val="20"/>
          <w:szCs w:val="20"/>
          <w:highlight w:val="white"/>
        </w:rPr>
        <w:fldChar w:fldCharType="begin"/>
      </w:r>
      <w:r w:rsidR="00755957" w:rsidRPr="00B662AC">
        <w:rPr>
          <w:rFonts w:ascii="Times New Roman" w:hAnsi="Times New Roman" w:cs="Times New Roman"/>
          <w:sz w:val="20"/>
          <w:szCs w:val="20"/>
          <w:highlight w:val="white"/>
        </w:rPr>
        <w:instrText xml:space="preserve"> ADDIN EN.CITE &lt;EndNote&gt;&lt;Cite&gt;&lt;RecNum&gt;48&lt;/RecNum&gt;&lt;DisplayText&gt;[1]&lt;/DisplayText&gt;&lt;record&gt;&lt;rec-number&gt;48&lt;/rec-number&gt;&lt;foreign-keys&gt;&lt;key app="EN" db-id="p02a225ds95fsde5f2ap2vrn92azwvtpas9v" timestamp="1662118581"&gt;48&lt;/key&gt;&lt;/foreign-keys&gt;&lt;ref-type name="Web Page"&gt;12&lt;/ref-type&gt;&lt;contributors&gt;&lt;/contributors&gt;&lt;titles&gt;&lt;title&gt;Richtlijn Bloedtransfusie beleid Nederlands&lt;/title&gt;&lt;/titles&gt;&lt;dates&gt;&lt;/dates&gt;&lt;publisher&gt;Federation of Medical Speciaslist, the Netherlands&lt;/publisher&gt;&lt;urls&gt;&lt;related-urls&gt;&lt;url&gt;https://richtlijnendatabase.nl/richtlijn/bloedtransfusiebeleid/startpagina_-_bloedtransfusiebeleid.html&lt;/url&gt;&lt;/related-urls&gt;&lt;/urls&gt;&lt;/record&gt;&lt;/Cite&gt;&lt;/EndNote&gt;</w:instrText>
      </w:r>
      <w:r w:rsidR="00755957" w:rsidRPr="00B662AC">
        <w:rPr>
          <w:rFonts w:ascii="Times New Roman" w:hAnsi="Times New Roman" w:cs="Times New Roman"/>
          <w:sz w:val="20"/>
          <w:szCs w:val="20"/>
          <w:highlight w:val="white"/>
        </w:rPr>
        <w:fldChar w:fldCharType="separate"/>
      </w:r>
      <w:r w:rsidR="00755957" w:rsidRPr="00B662AC">
        <w:rPr>
          <w:rFonts w:ascii="Times New Roman" w:hAnsi="Times New Roman" w:cs="Times New Roman"/>
          <w:noProof/>
          <w:sz w:val="20"/>
          <w:szCs w:val="20"/>
          <w:highlight w:val="white"/>
        </w:rPr>
        <w:t>[1]</w:t>
      </w:r>
      <w:r w:rsidR="00755957" w:rsidRPr="00B662AC">
        <w:rPr>
          <w:rFonts w:ascii="Times New Roman" w:hAnsi="Times New Roman" w:cs="Times New Roman"/>
          <w:sz w:val="20"/>
          <w:szCs w:val="20"/>
          <w:highlight w:val="white"/>
        </w:rPr>
        <w:fldChar w:fldCharType="end"/>
      </w:r>
      <w:r w:rsidRPr="00B662AC">
        <w:rPr>
          <w:rFonts w:ascii="Times New Roman" w:hAnsi="Times New Roman" w:cs="Times New Roman"/>
          <w:sz w:val="20"/>
          <w:szCs w:val="20"/>
          <w:highlight w:val="white"/>
        </w:rPr>
        <w:t xml:space="preserve"> a</w:t>
      </w:r>
      <w:r w:rsidRPr="00B662AC">
        <w:rPr>
          <w:rFonts w:ascii="Times New Roman" w:hAnsi="Times New Roman" w:cs="Times New Roman"/>
          <w:sz w:val="20"/>
          <w:szCs w:val="20"/>
        </w:rPr>
        <w:t>nd corticosteroids were only administered in pre-defined situations, e.g. chronic corticosteroid-use, severe inflammatory response with hemodynamic instability during surgery.</w:t>
      </w:r>
    </w:p>
    <w:p w14:paraId="40504E63" w14:textId="2A2DD027" w:rsidR="00A37638" w:rsidRPr="00B662AC" w:rsidRDefault="00C02D3D" w:rsidP="00B662AC">
      <w:pPr>
        <w:spacing w:before="240" w:after="240" w:line="360" w:lineRule="auto"/>
        <w:rPr>
          <w:rFonts w:ascii="Times New Roman" w:hAnsi="Times New Roman" w:cs="Times New Roman"/>
          <w:b/>
          <w:bCs/>
          <w:sz w:val="20"/>
          <w:szCs w:val="20"/>
        </w:rPr>
      </w:pPr>
      <w:r w:rsidRPr="00B662AC">
        <w:rPr>
          <w:rFonts w:ascii="Times New Roman" w:hAnsi="Times New Roman" w:cs="Times New Roman"/>
          <w:b/>
          <w:bCs/>
          <w:sz w:val="20"/>
          <w:szCs w:val="20"/>
        </w:rPr>
        <w:t>Cardiopulmonary Bypass:</w:t>
      </w:r>
      <w:r w:rsidR="00B662AC">
        <w:rPr>
          <w:rFonts w:ascii="Times New Roman" w:hAnsi="Times New Roman" w:cs="Times New Roman"/>
          <w:b/>
          <w:bCs/>
          <w:sz w:val="20"/>
          <w:szCs w:val="20"/>
        </w:rPr>
        <w:t xml:space="preserve"> </w:t>
      </w:r>
      <w:r w:rsidRPr="00B662AC">
        <w:rPr>
          <w:rFonts w:ascii="Times New Roman" w:hAnsi="Times New Roman" w:cs="Times New Roman"/>
          <w:sz w:val="20"/>
          <w:szCs w:val="20"/>
        </w:rPr>
        <w:t xml:space="preserve">A heart-lung machine (S3; Sorin Group) with a centrifugal blood pump (Revolution; Sorin Group) and a hollow </w:t>
      </w:r>
      <w:proofErr w:type="spellStart"/>
      <w:r w:rsidRPr="00B662AC">
        <w:rPr>
          <w:rFonts w:ascii="Times New Roman" w:hAnsi="Times New Roman" w:cs="Times New Roman"/>
          <w:sz w:val="20"/>
          <w:szCs w:val="20"/>
        </w:rPr>
        <w:t>fibre</w:t>
      </w:r>
      <w:proofErr w:type="spellEnd"/>
      <w:r w:rsidRPr="00B662AC">
        <w:rPr>
          <w:rFonts w:ascii="Times New Roman" w:hAnsi="Times New Roman" w:cs="Times New Roman"/>
          <w:sz w:val="20"/>
          <w:szCs w:val="20"/>
        </w:rPr>
        <w:t xml:space="preserve"> membrane oxygenator (</w:t>
      </w:r>
      <w:proofErr w:type="spellStart"/>
      <w:r w:rsidRPr="00B662AC">
        <w:rPr>
          <w:rFonts w:ascii="Times New Roman" w:hAnsi="Times New Roman" w:cs="Times New Roman"/>
          <w:sz w:val="20"/>
          <w:szCs w:val="20"/>
        </w:rPr>
        <w:t>Maquet</w:t>
      </w:r>
      <w:proofErr w:type="spellEnd"/>
      <w:r w:rsidRPr="00B662AC">
        <w:rPr>
          <w:rFonts w:ascii="Times New Roman" w:hAnsi="Times New Roman" w:cs="Times New Roman"/>
          <w:sz w:val="20"/>
          <w:szCs w:val="20"/>
        </w:rPr>
        <w:t xml:space="preserve"> </w:t>
      </w:r>
      <w:proofErr w:type="spellStart"/>
      <w:r w:rsidRPr="00B662AC">
        <w:rPr>
          <w:rFonts w:ascii="Times New Roman" w:hAnsi="Times New Roman" w:cs="Times New Roman"/>
          <w:sz w:val="20"/>
          <w:szCs w:val="20"/>
        </w:rPr>
        <w:t>Quadrox</w:t>
      </w:r>
      <w:proofErr w:type="spellEnd"/>
      <w:r w:rsidRPr="00B662AC">
        <w:rPr>
          <w:rFonts w:ascii="Times New Roman" w:hAnsi="Times New Roman" w:cs="Times New Roman"/>
          <w:sz w:val="20"/>
          <w:szCs w:val="20"/>
        </w:rPr>
        <w:t>-I or Terumo FX15) was used. The circuit was primed with hydroxyethyl starch 130 (</w:t>
      </w:r>
      <w:proofErr w:type="spellStart"/>
      <w:r w:rsidRPr="00B662AC">
        <w:rPr>
          <w:rFonts w:ascii="Times New Roman" w:hAnsi="Times New Roman" w:cs="Times New Roman"/>
          <w:sz w:val="20"/>
          <w:szCs w:val="20"/>
        </w:rPr>
        <w:t>Voluven</w:t>
      </w:r>
      <w:proofErr w:type="spellEnd"/>
      <w:r w:rsidRPr="00B662AC">
        <w:rPr>
          <w:rFonts w:ascii="Times New Roman" w:hAnsi="Times New Roman" w:cs="Times New Roman"/>
          <w:sz w:val="20"/>
          <w:szCs w:val="20"/>
        </w:rPr>
        <w:t xml:space="preserve"> 6%; Fresenius </w:t>
      </w:r>
      <w:proofErr w:type="spellStart"/>
      <w:r w:rsidRPr="00B662AC">
        <w:rPr>
          <w:rFonts w:ascii="Times New Roman" w:hAnsi="Times New Roman" w:cs="Times New Roman"/>
          <w:sz w:val="20"/>
          <w:szCs w:val="20"/>
        </w:rPr>
        <w:t>Kabi</w:t>
      </w:r>
      <w:proofErr w:type="spellEnd"/>
      <w:r w:rsidRPr="00B662AC">
        <w:rPr>
          <w:rFonts w:ascii="Times New Roman" w:hAnsi="Times New Roman" w:cs="Times New Roman"/>
          <w:sz w:val="20"/>
          <w:szCs w:val="20"/>
        </w:rPr>
        <w:t xml:space="preserve"> Norge AS), Mannitol 15%, Ringer’s solution and Heparin. Tubing was coated with bio-inert heparin-free polymers (SAFELINE; MAQUET Holding BV &amp; Co KG). Intermittent warm antegrade blood cardioplegia was applied. Anticoagulant therapy consisted of heparin (target Activated clotting time &gt; 400s) which was </w:t>
      </w:r>
      <w:proofErr w:type="spellStart"/>
      <w:r w:rsidRPr="00B662AC">
        <w:rPr>
          <w:rFonts w:ascii="Times New Roman" w:hAnsi="Times New Roman" w:cs="Times New Roman"/>
          <w:sz w:val="20"/>
          <w:szCs w:val="20"/>
        </w:rPr>
        <w:t>antagonised</w:t>
      </w:r>
      <w:proofErr w:type="spellEnd"/>
      <w:r w:rsidRPr="00B662AC">
        <w:rPr>
          <w:rFonts w:ascii="Times New Roman" w:hAnsi="Times New Roman" w:cs="Times New Roman"/>
          <w:sz w:val="20"/>
          <w:szCs w:val="20"/>
        </w:rPr>
        <w:t xml:space="preserve"> with protamine sulphate at the end of the procedure. The patient’s core temperature was maintained at 34</w:t>
      </w:r>
      <w:r w:rsidRPr="00B662AC">
        <w:rPr>
          <w:rFonts w:ascii="Times New Roman" w:hAnsi="Times New Roman" w:cs="Times New Roman"/>
          <w:sz w:val="20"/>
          <w:szCs w:val="20"/>
          <w:vertAlign w:val="superscript"/>
        </w:rPr>
        <w:t>o</w:t>
      </w:r>
      <w:r w:rsidRPr="00B662AC">
        <w:rPr>
          <w:rFonts w:ascii="Times New Roman" w:hAnsi="Times New Roman" w:cs="Times New Roman"/>
          <w:sz w:val="20"/>
          <w:szCs w:val="20"/>
        </w:rPr>
        <w:t>C to 36</w:t>
      </w:r>
      <w:r w:rsidRPr="00B662AC">
        <w:rPr>
          <w:rFonts w:ascii="Times New Roman" w:hAnsi="Times New Roman" w:cs="Times New Roman"/>
          <w:sz w:val="20"/>
          <w:szCs w:val="20"/>
          <w:vertAlign w:val="superscript"/>
        </w:rPr>
        <w:t>o</w:t>
      </w:r>
      <w:r w:rsidRPr="00B662AC">
        <w:rPr>
          <w:rFonts w:ascii="Times New Roman" w:hAnsi="Times New Roman" w:cs="Times New Roman"/>
          <w:sz w:val="20"/>
          <w:szCs w:val="20"/>
        </w:rPr>
        <w:t>C, except for aortic surgery where active cooling (up to 20</w:t>
      </w:r>
      <w:r w:rsidRPr="00B662AC">
        <w:rPr>
          <w:rFonts w:ascii="Times New Roman" w:hAnsi="Times New Roman" w:cs="Times New Roman"/>
          <w:sz w:val="20"/>
          <w:szCs w:val="20"/>
          <w:vertAlign w:val="superscript"/>
        </w:rPr>
        <w:t>o</w:t>
      </w:r>
      <w:r w:rsidRPr="00B662AC">
        <w:rPr>
          <w:rFonts w:ascii="Times New Roman" w:hAnsi="Times New Roman" w:cs="Times New Roman"/>
          <w:sz w:val="20"/>
          <w:szCs w:val="20"/>
        </w:rPr>
        <w:t>C) was used to prevent brain ischemia.</w:t>
      </w:r>
    </w:p>
    <w:p w14:paraId="3C178B78" w14:textId="2657AD0E" w:rsidR="00B662AC" w:rsidRPr="00B662AC" w:rsidRDefault="00C02D3D" w:rsidP="00B662AC">
      <w:pPr>
        <w:spacing w:before="240" w:after="240" w:line="360" w:lineRule="auto"/>
        <w:rPr>
          <w:rFonts w:ascii="Times New Roman" w:hAnsi="Times New Roman" w:cs="Times New Roman"/>
          <w:b/>
          <w:bCs/>
          <w:sz w:val="20"/>
          <w:szCs w:val="20"/>
        </w:rPr>
      </w:pPr>
      <w:r w:rsidRPr="00B662AC">
        <w:rPr>
          <w:rFonts w:ascii="Times New Roman" w:hAnsi="Times New Roman" w:cs="Times New Roman"/>
          <w:b/>
          <w:bCs/>
          <w:sz w:val="20"/>
          <w:szCs w:val="20"/>
        </w:rPr>
        <w:t>Postoperative care</w:t>
      </w:r>
      <w:r w:rsidR="00B662AC">
        <w:rPr>
          <w:rFonts w:ascii="Times New Roman" w:hAnsi="Times New Roman" w:cs="Times New Roman"/>
          <w:b/>
          <w:bCs/>
          <w:sz w:val="20"/>
          <w:szCs w:val="20"/>
        </w:rPr>
        <w:t xml:space="preserve">: </w:t>
      </w:r>
      <w:r w:rsidRPr="00B662AC">
        <w:rPr>
          <w:rFonts w:ascii="Times New Roman" w:hAnsi="Times New Roman" w:cs="Times New Roman"/>
          <w:sz w:val="20"/>
          <w:szCs w:val="20"/>
        </w:rPr>
        <w:t>Patients were treated according to a so called “fast-track” protocol</w:t>
      </w:r>
      <w:r w:rsidR="00755957" w:rsidRPr="00B662AC">
        <w:rPr>
          <w:rFonts w:ascii="Times New Roman" w:hAnsi="Times New Roman" w:cs="Times New Roman"/>
          <w:sz w:val="20"/>
          <w:szCs w:val="20"/>
        </w:rPr>
        <w:fldChar w:fldCharType="begin"/>
      </w:r>
      <w:r w:rsidR="00755957" w:rsidRPr="00B662AC">
        <w:rPr>
          <w:rFonts w:ascii="Times New Roman" w:hAnsi="Times New Roman" w:cs="Times New Roman"/>
          <w:sz w:val="20"/>
          <w:szCs w:val="20"/>
        </w:rPr>
        <w:instrText xml:space="preserve"> ADDIN EN.CITE &lt;EndNote&gt;&lt;Cite&gt;&lt;Author&gt;Silbert&lt;/Author&gt;&lt;Year&gt;1998&lt;/Year&gt;&lt;RecNum&gt;37&lt;/RecNum&gt;&lt;DisplayText&gt;[2]&lt;/DisplayText&gt;&lt;record&gt;&lt;rec-number&gt;37&lt;/rec-number&gt;&lt;foreign-keys&gt;&lt;key app="EN" db-id="p02a225ds95fsde5f2ap2vrn92azwvtpas9v" timestamp="1657092917"&gt;37&lt;/key&gt;&lt;/foreign-keys&gt;&lt;ref-type name="Journal Article"&gt;17&lt;/ref-type&gt;&lt;contributors&gt;&lt;authors&gt;&lt;author&gt;Silbert, B. S.&lt;/author&gt;&lt;author&gt;Santamaria, J. D.&lt;/author&gt;&lt;author&gt;O&amp;apos;Brien, J. L.&lt;/author&gt;&lt;author&gt;Blyth, C. M.&lt;/author&gt;&lt;author&gt;Kelly, W. J.&lt;/author&gt;&lt;author&gt;Molnar, R. R.&lt;/author&gt;&lt;/authors&gt;&lt;/contributors&gt;&lt;auth-address&gt;Department of Anaesthesia, St. Vincent&amp;apos;s Hospital, Melbourne, Victoria, Australia.&lt;/auth-address&gt;&lt;titles&gt;&lt;title&gt;Early extubation following coronary artery bypass surgery: a prospective randomized controlled trial. The Fast Track Cardiac Care Team&lt;/title&gt;&lt;secondary-title&gt;Chest&lt;/secondary-title&gt;&lt;/titles&gt;&lt;pages&gt;1481-8&lt;/pages&gt;&lt;volume&gt;113&lt;/volume&gt;&lt;number&gt;6&lt;/number&gt;&lt;edition&gt;1998/06/19&lt;/edition&gt;&lt;keywords&gt;&lt;keyword&gt;Anesthesia&lt;/keyword&gt;&lt;keyword&gt;Anesthetics, Intravenous&lt;/keyword&gt;&lt;keyword&gt;*Coronary Artery Bypass&lt;/keyword&gt;&lt;keyword&gt;Female&lt;/keyword&gt;&lt;keyword&gt;Fentanyl&lt;/keyword&gt;&lt;keyword&gt;Humans&lt;/keyword&gt;&lt;keyword&gt;*Intubation, Intratracheal/adverse effects&lt;/keyword&gt;&lt;keyword&gt;Male&lt;/keyword&gt;&lt;keyword&gt;Middle Aged&lt;/keyword&gt;&lt;keyword&gt;*Postoperative Care&lt;/keyword&gt;&lt;keyword&gt;Postoperative Complications&lt;/keyword&gt;&lt;keyword&gt;Prospective Studies&lt;/keyword&gt;&lt;keyword&gt;Respiration, Artificial&lt;/keyword&gt;&lt;keyword&gt;Time Factors&lt;/keyword&gt;&lt;/keywords&gt;&lt;dates&gt;&lt;year&gt;1998&lt;/year&gt;&lt;pub-dates&gt;&lt;date&gt;Jun&lt;/date&gt;&lt;/pub-dates&gt;&lt;/dates&gt;&lt;isbn&gt;0012-3692 (Print)&amp;#xD;0012-3692&lt;/isbn&gt;&lt;accession-num&gt;9631781&lt;/accession-num&gt;&lt;urls&gt;&lt;/urls&gt;&lt;electronic-resource-num&gt;10.1378/chest.113.6.1481&lt;/electronic-resource-num&gt;&lt;remote-database-provider&gt;NLM&lt;/remote-database-provider&gt;&lt;language&gt;eng&lt;/language&gt;&lt;/record&gt;&lt;/Cite&gt;&lt;/EndNote&gt;</w:instrText>
      </w:r>
      <w:r w:rsidR="00755957" w:rsidRPr="00B662AC">
        <w:rPr>
          <w:rFonts w:ascii="Times New Roman" w:hAnsi="Times New Roman" w:cs="Times New Roman"/>
          <w:sz w:val="20"/>
          <w:szCs w:val="20"/>
        </w:rPr>
        <w:fldChar w:fldCharType="separate"/>
      </w:r>
      <w:r w:rsidR="00755957" w:rsidRPr="00B662AC">
        <w:rPr>
          <w:rFonts w:ascii="Times New Roman" w:hAnsi="Times New Roman" w:cs="Times New Roman"/>
          <w:noProof/>
          <w:sz w:val="20"/>
          <w:szCs w:val="20"/>
        </w:rPr>
        <w:t>[2]</w:t>
      </w:r>
      <w:r w:rsidR="00755957" w:rsidRPr="00B662AC">
        <w:rPr>
          <w:rFonts w:ascii="Times New Roman" w:hAnsi="Times New Roman" w:cs="Times New Roman"/>
          <w:sz w:val="20"/>
          <w:szCs w:val="20"/>
        </w:rPr>
        <w:fldChar w:fldCharType="end"/>
      </w:r>
      <w:r w:rsidRPr="00B662AC">
        <w:rPr>
          <w:rFonts w:ascii="Times New Roman" w:hAnsi="Times New Roman" w:cs="Times New Roman"/>
          <w:sz w:val="20"/>
          <w:szCs w:val="20"/>
        </w:rPr>
        <w:t xml:space="preserve"> In short: when hemodynamically stable and with a core temperature of &gt; 36 °C, patients were extubated when the following criteria were met: 1) Ramsay score 2-3,</w:t>
      </w:r>
      <w:r w:rsidR="00755957" w:rsidRPr="00B662AC">
        <w:rPr>
          <w:rFonts w:ascii="Times New Roman" w:hAnsi="Times New Roman" w:cs="Times New Roman"/>
          <w:sz w:val="20"/>
          <w:szCs w:val="20"/>
        </w:rPr>
        <w:fldChar w:fldCharType="begin"/>
      </w:r>
      <w:r w:rsidR="00755957" w:rsidRPr="00B662AC">
        <w:rPr>
          <w:rFonts w:ascii="Times New Roman" w:hAnsi="Times New Roman" w:cs="Times New Roman"/>
          <w:sz w:val="20"/>
          <w:szCs w:val="20"/>
        </w:rPr>
        <w:instrText xml:space="preserve"> ADDIN EN.CITE &lt;EndNote&gt;&lt;Cite&gt;&lt;Author&gt;Ramsay&lt;/Author&gt;&lt;Year&gt;1974&lt;/Year&gt;&lt;RecNum&gt;19&lt;/RecNum&gt;&lt;DisplayText&gt;[3]&lt;/DisplayText&gt;&lt;record&gt;&lt;rec-number&gt;19&lt;/rec-number&gt;&lt;foreign-keys&gt;&lt;key app="EN" db-id="p02a225ds95fsde5f2ap2vrn92azwvtpas9v" timestamp="1657092667"&gt;19&lt;/key&gt;&lt;/foreign-keys&gt;&lt;ref-type name="Journal Article"&gt;17&lt;/ref-type&gt;&lt;contributors&gt;&lt;authors&gt;&lt;author&gt;Ramsay, M. A.&lt;/author&gt;&lt;author&gt;Savege, T. M.&lt;/author&gt;&lt;author&gt;Simpson, B. R.&lt;/author&gt;&lt;author&gt;Goodwin, R.&lt;/author&gt;&lt;/authors&gt;&lt;/contributors&gt;&lt;titles&gt;&lt;title&gt;Controlled sedation with alphaxalone-alphadolone&lt;/title&gt;&lt;secondary-title&gt;Br Med J&lt;/secondary-title&gt;&lt;/titles&gt;&lt;pages&gt;656-9&lt;/pages&gt;&lt;volume&gt;2&lt;/volume&gt;&lt;number&gt;5920&lt;/number&gt;&lt;edition&gt;1974/06/22&lt;/edition&gt;&lt;keywords&gt;&lt;keyword&gt;Adult&lt;/keyword&gt;&lt;keyword&gt;Aged&lt;/keyword&gt;&lt;keyword&gt;Blood Pressure/drug effects&lt;/keyword&gt;&lt;keyword&gt;Central Venous Pressure/drug effects&lt;/keyword&gt;&lt;keyword&gt;Child&lt;/keyword&gt;&lt;keyword&gt;Drug Combinations&lt;/keyword&gt;&lt;keyword&gt;Electroencephalography&lt;/keyword&gt;&lt;keyword&gt;Female&lt;/keyword&gt;&lt;keyword&gt;Heart Rate/drug effects&lt;/keyword&gt;&lt;keyword&gt;Humans&lt;/keyword&gt;&lt;keyword&gt;Hydroxysteroids/administration &amp;amp; dosage&lt;/keyword&gt;&lt;keyword&gt;Hypnotics and Sedatives/*administration &amp;amp; dosage/pharmacology&lt;/keyword&gt;&lt;keyword&gt;Infusions, Parenteral&lt;/keyword&gt;&lt;keyword&gt;Injections, Intravenous&lt;/keyword&gt;&lt;keyword&gt;*Intensive Care Units&lt;/keyword&gt;&lt;keyword&gt;Liver Function Tests&lt;/keyword&gt;&lt;keyword&gt;Male&lt;/keyword&gt;&lt;keyword&gt;Middle Aged&lt;/keyword&gt;&lt;keyword&gt;Pregnanediones/*administration &amp;amp; dosage&lt;/keyword&gt;&lt;keyword&gt;Respiration/drug effects&lt;/keyword&gt;&lt;keyword&gt;Tachyphylaxis&lt;/keyword&gt;&lt;keyword&gt;Time Factors&lt;/keyword&gt;&lt;/keywords&gt;&lt;dates&gt;&lt;year&gt;1974&lt;/year&gt;&lt;pub-dates&gt;&lt;date&gt;Jun 22&lt;/date&gt;&lt;/pub-dates&gt;&lt;/dates&gt;&lt;isbn&gt;0007-1447 (Print)&amp;#xD;0007-1447&lt;/isbn&gt;&lt;accession-num&gt;4835444&lt;/accession-num&gt;&lt;urls&gt;&lt;/urls&gt;&lt;custom2&gt;PMC1613102&lt;/custom2&gt;&lt;electronic-resource-num&gt;10.1136/bmj.2.5920.656&lt;/electronic-resource-num&gt;&lt;remote-database-provider&gt;NLM&lt;/remote-database-provider&gt;&lt;language&gt;eng&lt;/language&gt;&lt;/record&gt;&lt;/Cite&gt;&lt;/EndNote&gt;</w:instrText>
      </w:r>
      <w:r w:rsidR="00755957" w:rsidRPr="00B662AC">
        <w:rPr>
          <w:rFonts w:ascii="Times New Roman" w:hAnsi="Times New Roman" w:cs="Times New Roman"/>
          <w:sz w:val="20"/>
          <w:szCs w:val="20"/>
        </w:rPr>
        <w:fldChar w:fldCharType="separate"/>
      </w:r>
      <w:r w:rsidR="00755957" w:rsidRPr="00B662AC">
        <w:rPr>
          <w:rFonts w:ascii="Times New Roman" w:hAnsi="Times New Roman" w:cs="Times New Roman"/>
          <w:noProof/>
          <w:sz w:val="20"/>
          <w:szCs w:val="20"/>
        </w:rPr>
        <w:t>[3]</w:t>
      </w:r>
      <w:r w:rsidR="00755957" w:rsidRPr="00B662AC">
        <w:rPr>
          <w:rFonts w:ascii="Times New Roman" w:hAnsi="Times New Roman" w:cs="Times New Roman"/>
          <w:sz w:val="20"/>
          <w:szCs w:val="20"/>
        </w:rPr>
        <w:fldChar w:fldCharType="end"/>
      </w:r>
      <w:r w:rsidRPr="00B662AC">
        <w:rPr>
          <w:rFonts w:ascii="Times New Roman" w:hAnsi="Times New Roman" w:cs="Times New Roman"/>
          <w:sz w:val="20"/>
          <w:szCs w:val="20"/>
        </w:rPr>
        <w:t xml:space="preserve"> 2) Arterial pO2 &gt; 9 kPa and FiO2 40%, 3) pH &gt; 7.30 and 4) decreasing thoracic drain production &lt; 50-100ml/hour. Patients were discharged from the ICU on the first postoperative day, unless the patient’s hemodynamic and respiratory status required prolonged ICU stay. Hemodynamic monitoring was performed by an arterial and central venous catheter and, on indication, with a pulmonary artery catheter. In patients with low cardiac output, </w:t>
      </w:r>
      <w:proofErr w:type="spellStart"/>
      <w:r w:rsidRPr="00B662AC">
        <w:rPr>
          <w:rFonts w:ascii="Times New Roman" w:hAnsi="Times New Roman" w:cs="Times New Roman"/>
          <w:sz w:val="20"/>
          <w:szCs w:val="20"/>
        </w:rPr>
        <w:t>dobutamin</w:t>
      </w:r>
      <w:proofErr w:type="spellEnd"/>
      <w:r w:rsidRPr="00B662AC">
        <w:rPr>
          <w:rFonts w:ascii="Times New Roman" w:hAnsi="Times New Roman" w:cs="Times New Roman"/>
          <w:sz w:val="20"/>
          <w:szCs w:val="20"/>
        </w:rPr>
        <w:t>, enoximone/milrinone, and noradrenaline were administered as inotropic and vasoactive agents.</w:t>
      </w:r>
    </w:p>
    <w:p w14:paraId="101A14C6" w14:textId="77777777" w:rsidR="00B662AC" w:rsidRDefault="00B662AC">
      <w:pPr>
        <w:rPr>
          <w:rFonts w:ascii="Times New Roman" w:hAnsi="Times New Roman" w:cs="Times New Roman"/>
          <w:b/>
        </w:rPr>
      </w:pPr>
      <w:r>
        <w:rPr>
          <w:rFonts w:ascii="Times New Roman" w:hAnsi="Times New Roman" w:cs="Times New Roman"/>
        </w:rPr>
        <w:br w:type="page"/>
      </w:r>
    </w:p>
    <w:p w14:paraId="75E9106D" w14:textId="38E1640C" w:rsidR="00B662AC" w:rsidRPr="00EE013E" w:rsidRDefault="00B662AC" w:rsidP="00B662AC">
      <w:pPr>
        <w:pStyle w:val="Heading2"/>
        <w:rPr>
          <w:rFonts w:ascii="Times New Roman" w:hAnsi="Times New Roman" w:cs="Times New Roman"/>
          <w:sz w:val="24"/>
          <w:szCs w:val="24"/>
        </w:rPr>
      </w:pPr>
      <w:r w:rsidRPr="00EE013E">
        <w:rPr>
          <w:rFonts w:ascii="Times New Roman" w:hAnsi="Times New Roman" w:cs="Times New Roman"/>
          <w:sz w:val="22"/>
          <w:szCs w:val="22"/>
        </w:rPr>
        <w:lastRenderedPageBreak/>
        <w:t>Formulas and definitions</w:t>
      </w:r>
      <w:r w:rsidRPr="00EE013E">
        <w:rPr>
          <w:rFonts w:ascii="Times New Roman" w:hAnsi="Times New Roman" w:cs="Times New Roman"/>
          <w:sz w:val="24"/>
          <w:szCs w:val="24"/>
        </w:rPr>
        <w:br/>
      </w:r>
    </w:p>
    <w:p w14:paraId="6347C657" w14:textId="77777777" w:rsidR="00B662AC" w:rsidRPr="00B662AC" w:rsidRDefault="00B662AC" w:rsidP="00B662AC">
      <w:pPr>
        <w:spacing w:before="240" w:after="240" w:line="480" w:lineRule="auto"/>
        <w:rPr>
          <w:rFonts w:ascii="Times New Roman" w:hAnsi="Times New Roman" w:cs="Times New Roman"/>
          <w:sz w:val="20"/>
          <w:szCs w:val="20"/>
        </w:rPr>
      </w:pPr>
      <w:r w:rsidRPr="00B662AC">
        <w:rPr>
          <w:rFonts w:ascii="Times New Roman" w:hAnsi="Times New Roman" w:cs="Times New Roman"/>
          <w:b/>
          <w:bCs/>
          <w:sz w:val="20"/>
          <w:szCs w:val="20"/>
        </w:rPr>
        <w:t>P/F ratio</w:t>
      </w:r>
      <w:r w:rsidRPr="00B662AC">
        <w:rPr>
          <w:rFonts w:ascii="Times New Roman" w:hAnsi="Times New Roman" w:cs="Times New Roman"/>
          <w:sz w:val="20"/>
          <w:szCs w:val="20"/>
        </w:rPr>
        <w:t xml:space="preserve"> = PaO2 / FiO2</w:t>
      </w:r>
      <w:r w:rsidRPr="00B662AC">
        <w:rPr>
          <w:rFonts w:ascii="Times New Roman" w:hAnsi="Times New Roman" w:cs="Times New Roman"/>
          <w:sz w:val="20"/>
          <w:szCs w:val="20"/>
        </w:rPr>
        <w:br/>
        <w:t>The ratio of arterial oxygen partial pressure (PaO2 in mmHg) to fractional inspired oxygen (FiO2) .</w:t>
      </w:r>
    </w:p>
    <w:p w14:paraId="7818990E" w14:textId="77777777" w:rsidR="00B662AC" w:rsidRPr="00B662AC" w:rsidRDefault="00B662AC" w:rsidP="00B662AC">
      <w:pPr>
        <w:spacing w:before="240" w:after="240" w:line="240" w:lineRule="auto"/>
        <w:rPr>
          <w:rFonts w:ascii="Times New Roman" w:hAnsi="Times New Roman" w:cs="Times New Roman"/>
          <w:sz w:val="20"/>
          <w:szCs w:val="20"/>
        </w:rPr>
      </w:pPr>
      <w:r w:rsidRPr="00B662AC">
        <w:rPr>
          <w:rFonts w:ascii="Times New Roman" w:hAnsi="Times New Roman" w:cs="Times New Roman"/>
          <w:b/>
          <w:bCs/>
          <w:sz w:val="20"/>
          <w:szCs w:val="20"/>
        </w:rPr>
        <w:t>A-a gradient</w:t>
      </w:r>
      <w:r w:rsidRPr="00B662AC">
        <w:rPr>
          <w:rFonts w:ascii="Times New Roman" w:hAnsi="Times New Roman" w:cs="Times New Roman"/>
          <w:sz w:val="20"/>
          <w:szCs w:val="20"/>
        </w:rPr>
        <w:t xml:space="preserve"> = (F</w:t>
      </w:r>
      <w:r w:rsidRPr="00B662AC">
        <w:rPr>
          <w:rFonts w:ascii="Times New Roman" w:hAnsi="Times New Roman" w:cs="Times New Roman"/>
          <w:sz w:val="20"/>
          <w:szCs w:val="20"/>
          <w:vertAlign w:val="subscript"/>
        </w:rPr>
        <w:t>i</w:t>
      </w:r>
      <w:r w:rsidRPr="00B662AC">
        <w:rPr>
          <w:rFonts w:ascii="Times New Roman" w:hAnsi="Times New Roman" w:cs="Times New Roman"/>
          <w:sz w:val="20"/>
          <w:szCs w:val="20"/>
        </w:rPr>
        <w:t>O</w:t>
      </w:r>
      <w:r w:rsidRPr="00B662AC">
        <w:rPr>
          <w:rFonts w:ascii="Times New Roman" w:hAnsi="Times New Roman" w:cs="Times New Roman"/>
          <w:sz w:val="20"/>
          <w:szCs w:val="20"/>
          <w:vertAlign w:val="subscript"/>
        </w:rPr>
        <w:t>2</w:t>
      </w:r>
      <w:r w:rsidRPr="00B662AC">
        <w:rPr>
          <w:rFonts w:ascii="Times New Roman" w:hAnsi="Times New Roman" w:cs="Times New Roman"/>
          <w:sz w:val="20"/>
          <w:szCs w:val="20"/>
        </w:rPr>
        <w:t xml:space="preserve"> (</w:t>
      </w:r>
      <w:proofErr w:type="spellStart"/>
      <w:r w:rsidRPr="00B662AC">
        <w:rPr>
          <w:rFonts w:ascii="Times New Roman" w:hAnsi="Times New Roman" w:cs="Times New Roman"/>
          <w:sz w:val="20"/>
          <w:szCs w:val="20"/>
        </w:rPr>
        <w:t>P</w:t>
      </w:r>
      <w:r w:rsidRPr="00B662AC">
        <w:rPr>
          <w:rFonts w:ascii="Times New Roman" w:hAnsi="Times New Roman" w:cs="Times New Roman"/>
          <w:sz w:val="20"/>
          <w:szCs w:val="20"/>
          <w:vertAlign w:val="subscript"/>
        </w:rPr>
        <w:t>atm</w:t>
      </w:r>
      <w:proofErr w:type="spellEnd"/>
      <w:r w:rsidRPr="00B662AC">
        <w:rPr>
          <w:rFonts w:ascii="Times New Roman" w:hAnsi="Times New Roman" w:cs="Times New Roman"/>
          <w:sz w:val="20"/>
          <w:szCs w:val="20"/>
        </w:rPr>
        <w:t xml:space="preserve"> - P</w:t>
      </w:r>
      <w:r w:rsidRPr="00B662AC">
        <w:rPr>
          <w:rFonts w:ascii="Times New Roman" w:hAnsi="Times New Roman" w:cs="Times New Roman"/>
          <w:sz w:val="20"/>
          <w:szCs w:val="20"/>
          <w:vertAlign w:val="subscript"/>
        </w:rPr>
        <w:t>H2O</w:t>
      </w:r>
      <w:r w:rsidRPr="00B662AC">
        <w:rPr>
          <w:rFonts w:ascii="Times New Roman" w:hAnsi="Times New Roman" w:cs="Times New Roman"/>
          <w:sz w:val="20"/>
          <w:szCs w:val="20"/>
        </w:rPr>
        <w:t xml:space="preserve">)  -  </w:t>
      </w:r>
      <w:r w:rsidRPr="00B662AC">
        <w:rPr>
          <w:rFonts w:ascii="Times New Roman" w:hAnsi="Times New Roman" w:cs="Times New Roman"/>
          <w:sz w:val="20"/>
          <w:szCs w:val="20"/>
          <w:u w:val="single"/>
        </w:rPr>
        <w:t>P</w:t>
      </w:r>
      <w:r w:rsidRPr="00B662AC">
        <w:rPr>
          <w:rFonts w:ascii="Times New Roman" w:hAnsi="Times New Roman" w:cs="Times New Roman"/>
          <w:sz w:val="20"/>
          <w:szCs w:val="20"/>
          <w:u w:val="single"/>
          <w:vertAlign w:val="subscript"/>
        </w:rPr>
        <w:t>a</w:t>
      </w:r>
      <w:r w:rsidRPr="00B662AC">
        <w:rPr>
          <w:rFonts w:ascii="Times New Roman" w:hAnsi="Times New Roman" w:cs="Times New Roman"/>
          <w:sz w:val="20"/>
          <w:szCs w:val="20"/>
          <w:u w:val="single"/>
        </w:rPr>
        <w:t>CO2</w:t>
      </w:r>
      <w:r w:rsidRPr="00B662AC">
        <w:rPr>
          <w:rFonts w:ascii="Times New Roman" w:hAnsi="Times New Roman" w:cs="Times New Roman"/>
          <w:sz w:val="20"/>
          <w:szCs w:val="20"/>
        </w:rPr>
        <w:t>) - P</w:t>
      </w:r>
      <w:r w:rsidRPr="00B662AC">
        <w:rPr>
          <w:rFonts w:ascii="Times New Roman" w:hAnsi="Times New Roman" w:cs="Times New Roman"/>
          <w:sz w:val="20"/>
          <w:szCs w:val="20"/>
          <w:vertAlign w:val="subscript"/>
        </w:rPr>
        <w:t>a</w:t>
      </w:r>
      <w:r w:rsidRPr="00B662AC">
        <w:rPr>
          <w:rFonts w:ascii="Times New Roman" w:hAnsi="Times New Roman" w:cs="Times New Roman"/>
          <w:sz w:val="20"/>
          <w:szCs w:val="20"/>
        </w:rPr>
        <w:t>O</w:t>
      </w:r>
      <w:r w:rsidRPr="00B662AC">
        <w:rPr>
          <w:rFonts w:ascii="Times New Roman" w:hAnsi="Times New Roman" w:cs="Times New Roman"/>
          <w:sz w:val="20"/>
          <w:szCs w:val="20"/>
          <w:vertAlign w:val="subscript"/>
        </w:rPr>
        <w:t>2</w:t>
      </w:r>
      <w:r w:rsidRPr="00B662AC">
        <w:rPr>
          <w:rFonts w:ascii="Times New Roman" w:hAnsi="Times New Roman" w:cs="Times New Roman"/>
          <w:sz w:val="20"/>
          <w:szCs w:val="20"/>
          <w:vertAlign w:val="subscript"/>
        </w:rPr>
        <w:br/>
      </w:r>
      <w:r w:rsidRPr="00B662AC">
        <w:rPr>
          <w:rFonts w:ascii="Times New Roman" w:hAnsi="Times New Roman" w:cs="Times New Roman"/>
          <w:sz w:val="20"/>
          <w:szCs w:val="20"/>
          <w:vertAlign w:val="subscript"/>
        </w:rPr>
        <w:tab/>
      </w:r>
      <w:r w:rsidRPr="00B662AC">
        <w:rPr>
          <w:rFonts w:ascii="Times New Roman" w:hAnsi="Times New Roman" w:cs="Times New Roman"/>
          <w:sz w:val="20"/>
          <w:szCs w:val="20"/>
          <w:vertAlign w:val="subscript"/>
        </w:rPr>
        <w:tab/>
      </w:r>
      <w:r w:rsidRPr="00B662AC">
        <w:rPr>
          <w:rFonts w:ascii="Times New Roman" w:hAnsi="Times New Roman" w:cs="Times New Roman"/>
          <w:sz w:val="20"/>
          <w:szCs w:val="20"/>
          <w:vertAlign w:val="subscript"/>
        </w:rPr>
        <w:tab/>
      </w:r>
      <w:r w:rsidRPr="00B662AC">
        <w:rPr>
          <w:rFonts w:ascii="Times New Roman" w:hAnsi="Times New Roman" w:cs="Times New Roman"/>
          <w:sz w:val="20"/>
          <w:szCs w:val="20"/>
          <w:vertAlign w:val="subscript"/>
        </w:rPr>
        <w:tab/>
        <w:t xml:space="preserve">        </w:t>
      </w:r>
      <w:r w:rsidRPr="00B662AC">
        <w:rPr>
          <w:rFonts w:ascii="Times New Roman" w:hAnsi="Times New Roman" w:cs="Times New Roman"/>
          <w:sz w:val="20"/>
          <w:szCs w:val="20"/>
        </w:rPr>
        <w:t>0,8</w:t>
      </w:r>
    </w:p>
    <w:p w14:paraId="0B162E50" w14:textId="77777777" w:rsidR="00B662AC" w:rsidRDefault="00B662AC" w:rsidP="00B662AC">
      <w:pPr>
        <w:spacing w:before="240" w:after="240" w:line="480" w:lineRule="auto"/>
        <w:rPr>
          <w:rFonts w:ascii="Times New Roman" w:hAnsi="Times New Roman" w:cs="Times New Roman"/>
          <w:b/>
          <w:sz w:val="20"/>
          <w:szCs w:val="20"/>
        </w:rPr>
      </w:pPr>
    </w:p>
    <w:p w14:paraId="62B49C87" w14:textId="588540DC" w:rsidR="00B662AC" w:rsidRPr="00B662AC" w:rsidRDefault="00B662AC" w:rsidP="00B662AC">
      <w:pPr>
        <w:spacing w:before="240" w:after="240" w:line="480" w:lineRule="auto"/>
        <w:rPr>
          <w:rFonts w:ascii="Times New Roman" w:hAnsi="Times New Roman" w:cs="Times New Roman"/>
          <w:b/>
          <w:sz w:val="20"/>
          <w:szCs w:val="20"/>
        </w:rPr>
      </w:pPr>
      <w:r w:rsidRPr="00B662AC">
        <w:rPr>
          <w:rFonts w:ascii="Times New Roman" w:hAnsi="Times New Roman" w:cs="Times New Roman"/>
          <w:b/>
          <w:sz w:val="20"/>
          <w:szCs w:val="20"/>
        </w:rPr>
        <w:t xml:space="preserve">ARDS criteria according to “the Berlin Definition” </w:t>
      </w:r>
      <w:r w:rsidRPr="00B662AC">
        <w:rPr>
          <w:rFonts w:ascii="Times New Roman" w:hAnsi="Times New Roman" w:cs="Times New Roman"/>
          <w:b/>
          <w:sz w:val="20"/>
          <w:szCs w:val="20"/>
        </w:rPr>
        <w:fldChar w:fldCharType="begin"/>
      </w:r>
      <w:r w:rsidRPr="00B662AC">
        <w:rPr>
          <w:rFonts w:ascii="Times New Roman" w:hAnsi="Times New Roman" w:cs="Times New Roman"/>
          <w:b/>
          <w:sz w:val="20"/>
          <w:szCs w:val="20"/>
        </w:rPr>
        <w:instrText xml:space="preserve"> ADDIN EN.CITE &lt;EndNote&gt;&lt;Cite&gt;&lt;Author&gt;Ranieri&lt;/Author&gt;&lt;Year&gt;2012&lt;/Year&gt;&lt;RecNum&gt;46&lt;/RecNum&gt;&lt;DisplayText&gt;[4]&lt;/DisplayText&gt;&lt;record&gt;&lt;rec-number&gt;46&lt;/rec-number&gt;&lt;foreign-keys&gt;&lt;key app="EN" db-id="p02a225ds95fsde5f2ap2vrn92azwvtpas9v" timestamp="1662108918"&gt;46&lt;/key&gt;&lt;/foreign-keys&gt;&lt;ref-type name="Journal Article"&gt;17&lt;/ref-type&gt;&lt;contributors&gt;&lt;authors&gt;&lt;author&gt;Ranieri, V. M.&lt;/author&gt;&lt;author&gt;Rubenfeld, G. D.&lt;/author&gt;&lt;author&gt;Thompson, B. T.&lt;/author&gt;&lt;author&gt;Ferguson, N. D.&lt;/author&gt;&lt;author&gt;Caldwell, E.&lt;/author&gt;&lt;author&gt;Fan, E.&lt;/author&gt;&lt;author&gt;Camporota, L.&lt;/author&gt;&lt;author&gt;Slutsky, A. S.&lt;/author&gt;&lt;/authors&gt;&lt;/contributors&gt;&lt;titles&gt;&lt;title&gt;Acute respiratory distress syndrome: the Berlin Definition&lt;/title&gt;&lt;secondary-title&gt;Jama&lt;/secondary-title&gt;&lt;/titles&gt;&lt;pages&gt;2526-33&lt;/pages&gt;&lt;volume&gt;307&lt;/volume&gt;&lt;number&gt;23&lt;/number&gt;&lt;keywords&gt;&lt;keyword&gt;Humans&lt;/keyword&gt;&lt;keyword&gt;Meta-Analysis as Topic&lt;/keyword&gt;&lt;keyword&gt;Multicenter Studies as Topic&lt;/keyword&gt;&lt;keyword&gt;Respiratory Distress Syndrome/*classification/*diagnosis&lt;/keyword&gt;&lt;keyword&gt;Severity of Illness Index&lt;/keyword&gt;&lt;keyword&gt;*Terminology as Topic&lt;/keyword&gt;&lt;keyword&gt;Validation Studies as Topic&lt;/keyword&gt;&lt;/keywords&gt;&lt;dates&gt;&lt;year&gt;2012&lt;/year&gt;&lt;pub-dates&gt;&lt;date&gt;Jun 20&lt;/date&gt;&lt;/pub-dates&gt;&lt;/dates&gt;&lt;isbn&gt;0098-7484&lt;/isbn&gt;&lt;accession-num&gt;22797452&lt;/accession-num&gt;&lt;urls&gt;&lt;/urls&gt;&lt;electronic-resource-num&gt;10.1001/jama.2012.5669&lt;/electronic-resource-num&gt;&lt;remote-database-provider&gt;NLM&lt;/remote-database-provider&gt;&lt;language&gt;eng&lt;/language&gt;&lt;/record&gt;&lt;/Cite&gt;&lt;/EndNote&gt;</w:instrText>
      </w:r>
      <w:r w:rsidRPr="00B662AC">
        <w:rPr>
          <w:rFonts w:ascii="Times New Roman" w:hAnsi="Times New Roman" w:cs="Times New Roman"/>
          <w:b/>
          <w:sz w:val="20"/>
          <w:szCs w:val="20"/>
        </w:rPr>
        <w:fldChar w:fldCharType="separate"/>
      </w:r>
      <w:r w:rsidRPr="00B662AC">
        <w:rPr>
          <w:rFonts w:ascii="Times New Roman" w:hAnsi="Times New Roman" w:cs="Times New Roman"/>
          <w:b/>
          <w:noProof/>
          <w:sz w:val="20"/>
          <w:szCs w:val="20"/>
        </w:rPr>
        <w:t>[4]</w:t>
      </w:r>
      <w:r w:rsidRPr="00B662AC">
        <w:rPr>
          <w:rFonts w:ascii="Times New Roman" w:hAnsi="Times New Roman" w:cs="Times New Roman"/>
          <w:b/>
          <w:sz w:val="20"/>
          <w:szCs w:val="20"/>
        </w:rPr>
        <w:fldChar w:fldCharType="end"/>
      </w:r>
      <w:r w:rsidRPr="00B662AC">
        <w:rPr>
          <w:rFonts w:ascii="Times New Roman" w:hAnsi="Times New Roman" w:cs="Times New Roman"/>
          <w:b/>
          <w:sz w:val="20"/>
          <w:szCs w:val="20"/>
        </w:rPr>
        <w:t xml:space="preserve"> </w:t>
      </w:r>
    </w:p>
    <w:p w14:paraId="45E5DD5B" w14:textId="77777777" w:rsidR="00B662AC" w:rsidRPr="00B662AC" w:rsidRDefault="00B662AC" w:rsidP="00B662AC">
      <w:pPr>
        <w:spacing w:before="240" w:after="240" w:line="480" w:lineRule="auto"/>
        <w:rPr>
          <w:rFonts w:ascii="Times New Roman" w:hAnsi="Times New Roman" w:cs="Times New Roman"/>
          <w:b/>
          <w:sz w:val="20"/>
          <w:szCs w:val="20"/>
        </w:rPr>
      </w:pPr>
      <w:r w:rsidRPr="00B662AC">
        <w:rPr>
          <w:rFonts w:ascii="Times New Roman" w:hAnsi="Times New Roman" w:cs="Times New Roman"/>
          <w:b/>
          <w:noProof/>
          <w:sz w:val="20"/>
          <w:szCs w:val="20"/>
        </w:rPr>
        <w:drawing>
          <wp:inline distT="114300" distB="114300" distL="114300" distR="114300" wp14:anchorId="401CCEAE" wp14:editId="2C31B903">
            <wp:extent cx="5715000" cy="3209925"/>
            <wp:effectExtent l="0" t="0" r="0" b="0"/>
            <wp:docPr id="1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5"/>
                    <a:srcRect/>
                    <a:stretch>
                      <a:fillRect/>
                    </a:stretch>
                  </pic:blipFill>
                  <pic:spPr>
                    <a:xfrm>
                      <a:off x="0" y="0"/>
                      <a:ext cx="5715000" cy="3209925"/>
                    </a:xfrm>
                    <a:prstGeom prst="rect">
                      <a:avLst/>
                    </a:prstGeom>
                    <a:ln/>
                  </pic:spPr>
                </pic:pic>
              </a:graphicData>
            </a:graphic>
          </wp:inline>
        </w:drawing>
      </w:r>
    </w:p>
    <w:p w14:paraId="038E0E53" w14:textId="77777777" w:rsidR="00B662AC" w:rsidRDefault="00B662AC">
      <w:pPr>
        <w:rPr>
          <w:rFonts w:ascii="Times New Roman" w:hAnsi="Times New Roman" w:cs="Times New Roman"/>
          <w:b/>
          <w:bCs/>
          <w:sz w:val="20"/>
          <w:szCs w:val="20"/>
        </w:rPr>
      </w:pPr>
      <w:r>
        <w:rPr>
          <w:rFonts w:ascii="Times New Roman" w:hAnsi="Times New Roman" w:cs="Times New Roman"/>
          <w:b/>
          <w:bCs/>
          <w:sz w:val="20"/>
          <w:szCs w:val="20"/>
        </w:rPr>
        <w:br w:type="page"/>
      </w:r>
    </w:p>
    <w:p w14:paraId="59C306C5" w14:textId="6CFB663C" w:rsidR="00B662AC" w:rsidRPr="00EE013E" w:rsidRDefault="00B662AC" w:rsidP="00B662AC">
      <w:pPr>
        <w:pBdr>
          <w:top w:val="nil"/>
          <w:left w:val="nil"/>
          <w:bottom w:val="nil"/>
          <w:right w:val="nil"/>
          <w:between w:val="nil"/>
        </w:pBdr>
        <w:spacing w:line="360" w:lineRule="auto"/>
        <w:rPr>
          <w:rFonts w:ascii="Times New Roman" w:hAnsi="Times New Roman" w:cs="Times New Roman"/>
          <w:b/>
          <w:bCs/>
        </w:rPr>
      </w:pPr>
      <w:r w:rsidRPr="00EE013E">
        <w:rPr>
          <w:rFonts w:ascii="Times New Roman" w:hAnsi="Times New Roman" w:cs="Times New Roman"/>
          <w:b/>
          <w:bCs/>
        </w:rPr>
        <w:lastRenderedPageBreak/>
        <w:t>References</w:t>
      </w:r>
    </w:p>
    <w:p w14:paraId="2CA79748" w14:textId="0E8691E3" w:rsidR="00B662AC" w:rsidRPr="00B662AC" w:rsidRDefault="00B662AC" w:rsidP="00B662AC">
      <w:pPr>
        <w:pStyle w:val="EndNoteBibliography"/>
        <w:spacing w:after="0" w:line="360" w:lineRule="auto"/>
        <w:rPr>
          <w:rFonts w:ascii="Times New Roman" w:hAnsi="Times New Roman" w:cs="Times New Roman"/>
          <w:sz w:val="20"/>
          <w:szCs w:val="20"/>
        </w:rPr>
      </w:pPr>
      <w:r w:rsidRPr="00B662AC">
        <w:rPr>
          <w:rFonts w:ascii="Times New Roman" w:hAnsi="Times New Roman" w:cs="Times New Roman"/>
          <w:sz w:val="20"/>
          <w:szCs w:val="20"/>
        </w:rPr>
        <w:fldChar w:fldCharType="begin"/>
      </w:r>
      <w:r w:rsidRPr="00B662AC">
        <w:rPr>
          <w:rFonts w:ascii="Times New Roman" w:hAnsi="Times New Roman" w:cs="Times New Roman"/>
          <w:sz w:val="20"/>
          <w:szCs w:val="20"/>
          <w:lang w:val="en-US"/>
        </w:rPr>
        <w:instrText xml:space="preserve"> ADDIN EN.REFLIST </w:instrText>
      </w:r>
      <w:r w:rsidRPr="00B662AC">
        <w:rPr>
          <w:rFonts w:ascii="Times New Roman" w:hAnsi="Times New Roman" w:cs="Times New Roman"/>
          <w:sz w:val="20"/>
          <w:szCs w:val="20"/>
        </w:rPr>
        <w:fldChar w:fldCharType="separate"/>
      </w:r>
      <w:r w:rsidRPr="00B662AC">
        <w:rPr>
          <w:rFonts w:ascii="Times New Roman" w:hAnsi="Times New Roman" w:cs="Times New Roman"/>
          <w:sz w:val="20"/>
          <w:szCs w:val="20"/>
        </w:rPr>
        <w:t>1.</w:t>
      </w:r>
      <w:r w:rsidRPr="00B662AC">
        <w:rPr>
          <w:rFonts w:ascii="Times New Roman" w:hAnsi="Times New Roman" w:cs="Times New Roman"/>
          <w:sz w:val="20"/>
          <w:szCs w:val="20"/>
        </w:rPr>
        <w:tab/>
        <w:t xml:space="preserve">Richtlijn Bloedtransfusie beleid Nederlands: Federation of Medical Speciaslist, the Netherlands. Available from: </w:t>
      </w:r>
      <w:hyperlink r:id="rId6" w:history="1">
        <w:r w:rsidRPr="00B662AC">
          <w:rPr>
            <w:rStyle w:val="Hyperlink"/>
            <w:rFonts w:ascii="Times New Roman" w:hAnsi="Times New Roman" w:cs="Times New Roman"/>
            <w:sz w:val="20"/>
            <w:szCs w:val="20"/>
          </w:rPr>
          <w:t>https://richtlijnendatabase.nl/richtlijn/bloedtransfusiebeleid/startpagina_-_bloedtransfusiebeleid.html</w:t>
        </w:r>
      </w:hyperlink>
      <w:r w:rsidRPr="00B662AC">
        <w:rPr>
          <w:rFonts w:ascii="Times New Roman" w:hAnsi="Times New Roman" w:cs="Times New Roman"/>
          <w:sz w:val="20"/>
          <w:szCs w:val="20"/>
        </w:rPr>
        <w:t>.</w:t>
      </w:r>
    </w:p>
    <w:p w14:paraId="40276F60" w14:textId="77777777" w:rsidR="00B662AC" w:rsidRPr="00B662AC" w:rsidRDefault="00B662AC" w:rsidP="00B662AC">
      <w:pPr>
        <w:pStyle w:val="EndNoteBibliography"/>
        <w:spacing w:after="0" w:line="360" w:lineRule="auto"/>
        <w:rPr>
          <w:rFonts w:ascii="Times New Roman" w:hAnsi="Times New Roman" w:cs="Times New Roman"/>
          <w:sz w:val="20"/>
          <w:szCs w:val="20"/>
        </w:rPr>
      </w:pPr>
      <w:r w:rsidRPr="00B662AC">
        <w:rPr>
          <w:rFonts w:ascii="Times New Roman" w:hAnsi="Times New Roman" w:cs="Times New Roman"/>
          <w:sz w:val="20"/>
          <w:szCs w:val="20"/>
        </w:rPr>
        <w:t>2.</w:t>
      </w:r>
      <w:r w:rsidRPr="00B662AC">
        <w:rPr>
          <w:rFonts w:ascii="Times New Roman" w:hAnsi="Times New Roman" w:cs="Times New Roman"/>
          <w:sz w:val="20"/>
          <w:szCs w:val="20"/>
        </w:rPr>
        <w:tab/>
        <w:t>Silbert BS, Santamaria JD, O'Brien JL, Blyth CM, Kelly WJ, Molnar RR. Early extubation following coronary artery bypass surgery: a prospective randomized controlled trial. The Fast Track Cardiac Care Team. Chest. 1998;113(6):1481-8. Epub 1998/06/19. doi: 10.1378/chest.113.6.1481. PubMed PMID: 9631781.</w:t>
      </w:r>
    </w:p>
    <w:p w14:paraId="49183118" w14:textId="77777777" w:rsidR="00B662AC" w:rsidRPr="00B662AC" w:rsidRDefault="00B662AC" w:rsidP="00B662AC">
      <w:pPr>
        <w:pStyle w:val="EndNoteBibliography"/>
        <w:spacing w:after="0" w:line="360" w:lineRule="auto"/>
        <w:rPr>
          <w:rFonts w:ascii="Times New Roman" w:hAnsi="Times New Roman" w:cs="Times New Roman"/>
          <w:sz w:val="20"/>
          <w:szCs w:val="20"/>
        </w:rPr>
      </w:pPr>
      <w:r w:rsidRPr="00B662AC">
        <w:rPr>
          <w:rFonts w:ascii="Times New Roman" w:hAnsi="Times New Roman" w:cs="Times New Roman"/>
          <w:sz w:val="20"/>
          <w:szCs w:val="20"/>
        </w:rPr>
        <w:t>3.</w:t>
      </w:r>
      <w:r w:rsidRPr="00B662AC">
        <w:rPr>
          <w:rFonts w:ascii="Times New Roman" w:hAnsi="Times New Roman" w:cs="Times New Roman"/>
          <w:sz w:val="20"/>
          <w:szCs w:val="20"/>
        </w:rPr>
        <w:tab/>
        <w:t>Ramsay MA, Savege TM, Simpson BR, Goodwin R. Controlled sedation with alphaxalone-alphadolone. Br Med J. 1974;2(5920):656-9. Epub 1974/06/22. doi: 10.1136/bmj.2.5920.656. PubMed PMID: 4835444; PubMed Central PMCID: PMCPMC1613102.</w:t>
      </w:r>
    </w:p>
    <w:p w14:paraId="383477F6" w14:textId="77777777" w:rsidR="00B662AC" w:rsidRPr="00B662AC" w:rsidRDefault="00B662AC" w:rsidP="00B662AC">
      <w:pPr>
        <w:pStyle w:val="EndNoteBibliography"/>
        <w:spacing w:line="360" w:lineRule="auto"/>
        <w:rPr>
          <w:rFonts w:ascii="Times New Roman" w:hAnsi="Times New Roman" w:cs="Times New Roman"/>
          <w:sz w:val="20"/>
          <w:szCs w:val="20"/>
        </w:rPr>
      </w:pPr>
      <w:r w:rsidRPr="00B662AC">
        <w:rPr>
          <w:rFonts w:ascii="Times New Roman" w:hAnsi="Times New Roman" w:cs="Times New Roman"/>
          <w:sz w:val="20"/>
          <w:szCs w:val="20"/>
        </w:rPr>
        <w:t>4.</w:t>
      </w:r>
      <w:r w:rsidRPr="00B662AC">
        <w:rPr>
          <w:rFonts w:ascii="Times New Roman" w:hAnsi="Times New Roman" w:cs="Times New Roman"/>
          <w:sz w:val="20"/>
          <w:szCs w:val="20"/>
        </w:rPr>
        <w:tab/>
        <w:t>Ranieri VM, Rubenfeld GD, Thompson BT, Ferguson ND, Caldwell E, Fan E, et al. Acute respiratory distress syndrome: the Berlin Definition. Jama. 2012;307(23):2526-33. doi: 10.1001/jama.2012.5669. PubMed PMID: 22797452.</w:t>
      </w:r>
    </w:p>
    <w:p w14:paraId="3581656D" w14:textId="3332A018" w:rsidR="00B662AC" w:rsidRPr="00B662AC" w:rsidRDefault="00B662AC" w:rsidP="00B662AC">
      <w:pPr>
        <w:spacing w:line="360" w:lineRule="auto"/>
        <w:rPr>
          <w:rFonts w:ascii="Times New Roman" w:hAnsi="Times New Roman" w:cs="Times New Roman"/>
          <w:sz w:val="20"/>
          <w:szCs w:val="20"/>
        </w:rPr>
      </w:pPr>
      <w:r w:rsidRPr="00B662AC">
        <w:rPr>
          <w:rFonts w:ascii="Times New Roman" w:hAnsi="Times New Roman" w:cs="Times New Roman"/>
          <w:sz w:val="20"/>
          <w:szCs w:val="20"/>
        </w:rPr>
        <w:fldChar w:fldCharType="end"/>
      </w:r>
    </w:p>
    <w:p w14:paraId="7733330A" w14:textId="77777777" w:rsidR="00A37638" w:rsidRPr="00B662AC" w:rsidRDefault="00A37638" w:rsidP="00B662AC">
      <w:pPr>
        <w:spacing w:before="240" w:after="240" w:line="360" w:lineRule="auto"/>
        <w:rPr>
          <w:rFonts w:ascii="Times New Roman" w:hAnsi="Times New Roman" w:cs="Times New Roman"/>
          <w:sz w:val="20"/>
          <w:szCs w:val="20"/>
        </w:rPr>
      </w:pPr>
    </w:p>
    <w:sectPr w:rsidR="00A37638" w:rsidRPr="00B662AC">
      <w:pgSz w:w="11906" w:h="16838"/>
      <w:pgMar w:top="1440" w:right="1440" w:bottom="1440" w:left="144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Lo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02a225ds95fsde5f2ap2vrn92azwvtpas9v&quot;&gt;Library virus INFLAME&lt;record-ids&gt;&lt;item&gt;19&lt;/item&gt;&lt;item&gt;37&lt;/item&gt;&lt;item&gt;46&lt;/item&gt;&lt;item&gt;48&lt;/item&gt;&lt;/record-ids&gt;&lt;/item&gt;&lt;/Libraries&gt;"/>
  </w:docVars>
  <w:rsids>
    <w:rsidRoot w:val="00A37638"/>
    <w:rsid w:val="000B1791"/>
    <w:rsid w:val="0022230C"/>
    <w:rsid w:val="006675B1"/>
    <w:rsid w:val="00755957"/>
    <w:rsid w:val="00A37638"/>
    <w:rsid w:val="00B662AC"/>
    <w:rsid w:val="00C02D3D"/>
    <w:rsid w:val="00EE01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332D1"/>
  <w15:docId w15:val="{B015B175-D079-4ADF-83E3-1A52710A4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CommentText">
    <w:name w:val="annotation text"/>
    <w:basedOn w:val="Normal"/>
    <w:link w:val="CommentTextChar"/>
    <w:uiPriority w:val="99"/>
    <w:semiHidden/>
    <w:unhideWhenUsed/>
    <w:rsid w:val="00E23CD7"/>
    <w:pPr>
      <w:spacing w:after="200" w:line="240" w:lineRule="auto"/>
    </w:pPr>
    <w:rPr>
      <w:sz w:val="20"/>
      <w:szCs w:val="20"/>
      <w:lang w:val="en-GB"/>
    </w:rPr>
  </w:style>
  <w:style w:type="character" w:customStyle="1" w:styleId="CommentTextChar">
    <w:name w:val="Comment Text Char"/>
    <w:basedOn w:val="DefaultParagraphFont"/>
    <w:link w:val="CommentText"/>
    <w:uiPriority w:val="99"/>
    <w:semiHidden/>
    <w:rsid w:val="00E23CD7"/>
    <w:rPr>
      <w:rFonts w:ascii="Calibri" w:eastAsia="Calibri" w:hAnsi="Calibri" w:cs="Calibri"/>
      <w:sz w:val="20"/>
      <w:szCs w:val="20"/>
      <w:lang w:val="en-GB" w:eastAsia="nl-NL"/>
    </w:rPr>
  </w:style>
  <w:style w:type="character" w:styleId="CommentReference">
    <w:name w:val="annotation reference"/>
    <w:basedOn w:val="DefaultParagraphFont"/>
    <w:uiPriority w:val="99"/>
    <w:semiHidden/>
    <w:unhideWhenUsed/>
    <w:rsid w:val="00E23CD7"/>
    <w:rPr>
      <w:sz w:val="16"/>
      <w:szCs w:val="16"/>
    </w:rPr>
  </w:style>
  <w:style w:type="paragraph" w:styleId="CommentSubject">
    <w:name w:val="annotation subject"/>
    <w:basedOn w:val="CommentText"/>
    <w:next w:val="CommentText"/>
    <w:link w:val="CommentSubjectChar"/>
    <w:uiPriority w:val="99"/>
    <w:semiHidden/>
    <w:unhideWhenUsed/>
    <w:rsid w:val="005656F8"/>
    <w:pPr>
      <w:spacing w:after="160"/>
    </w:pPr>
    <w:rPr>
      <w:rFonts w:asciiTheme="minorHAnsi" w:eastAsiaTheme="minorHAnsi" w:hAnsiTheme="minorHAnsi" w:cstheme="minorBidi"/>
      <w:b/>
      <w:bCs/>
      <w:lang w:val="nl-NL" w:eastAsia="en-US"/>
    </w:rPr>
  </w:style>
  <w:style w:type="character" w:customStyle="1" w:styleId="CommentSubjectChar">
    <w:name w:val="Comment Subject Char"/>
    <w:basedOn w:val="CommentTextChar"/>
    <w:link w:val="CommentSubject"/>
    <w:uiPriority w:val="99"/>
    <w:semiHidden/>
    <w:rsid w:val="005656F8"/>
    <w:rPr>
      <w:rFonts w:ascii="Calibri" w:eastAsia="Calibri" w:hAnsi="Calibri" w:cs="Calibri"/>
      <w:b/>
      <w:bCs/>
      <w:sz w:val="20"/>
      <w:szCs w:val="20"/>
      <w:lang w:val="en-GB" w:eastAsia="nl-NL"/>
    </w:rPr>
  </w:style>
  <w:style w:type="character" w:styleId="Hyperlink">
    <w:name w:val="Hyperlink"/>
    <w:basedOn w:val="DefaultParagraphFont"/>
    <w:uiPriority w:val="99"/>
    <w:unhideWhenUsed/>
    <w:rsid w:val="00C97A8B"/>
    <w:rPr>
      <w:color w:val="0563C1" w:themeColor="hyperlink"/>
      <w:u w:val="single"/>
    </w:rPr>
  </w:style>
  <w:style w:type="character" w:styleId="FollowedHyperlink">
    <w:name w:val="FollowedHyperlink"/>
    <w:basedOn w:val="DefaultParagraphFont"/>
    <w:uiPriority w:val="99"/>
    <w:semiHidden/>
    <w:unhideWhenUsed/>
    <w:rsid w:val="00C97A8B"/>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EndNoteBibliographyTitle">
    <w:name w:val="EndNote Bibliography Title"/>
    <w:basedOn w:val="Normal"/>
    <w:link w:val="EndNoteBibliographyTitleChar"/>
    <w:rsid w:val="00755957"/>
    <w:pPr>
      <w:spacing w:after="0"/>
      <w:jc w:val="center"/>
    </w:pPr>
    <w:rPr>
      <w:noProof/>
      <w:lang w:val="nl-NL"/>
    </w:rPr>
  </w:style>
  <w:style w:type="character" w:customStyle="1" w:styleId="EndNoteBibliographyTitleChar">
    <w:name w:val="EndNote Bibliography Title Char"/>
    <w:basedOn w:val="DefaultParagraphFont"/>
    <w:link w:val="EndNoteBibliographyTitle"/>
    <w:rsid w:val="00755957"/>
    <w:rPr>
      <w:noProof/>
      <w:lang w:val="nl-NL"/>
    </w:rPr>
  </w:style>
  <w:style w:type="paragraph" w:customStyle="1" w:styleId="EndNoteBibliography">
    <w:name w:val="EndNote Bibliography"/>
    <w:basedOn w:val="Normal"/>
    <w:link w:val="EndNoteBibliographyChar"/>
    <w:rsid w:val="00755957"/>
    <w:pPr>
      <w:spacing w:line="240" w:lineRule="auto"/>
    </w:pPr>
    <w:rPr>
      <w:noProof/>
      <w:lang w:val="nl-NL"/>
    </w:rPr>
  </w:style>
  <w:style w:type="character" w:customStyle="1" w:styleId="EndNoteBibliographyChar">
    <w:name w:val="EndNote Bibliography Char"/>
    <w:basedOn w:val="DefaultParagraphFont"/>
    <w:link w:val="EndNoteBibliography"/>
    <w:rsid w:val="00755957"/>
    <w:rPr>
      <w:noProof/>
      <w:lang w:val="nl-NL"/>
    </w:rPr>
  </w:style>
  <w:style w:type="character" w:styleId="UnresolvedMention">
    <w:name w:val="Unresolved Mention"/>
    <w:basedOn w:val="DefaultParagraphFont"/>
    <w:uiPriority w:val="99"/>
    <w:semiHidden/>
    <w:unhideWhenUsed/>
    <w:rsid w:val="007559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richtlijnendatabase.nl/richtlijn/bloedtransfusiebeleid/startpagina_-_bloedtransfusiebeleid.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NAS/Gg5qn8qN63MmNcbk2wU/Ww==">AMUW2mVxfaez4gB7VDrc2wtYY1XwqW6nwxceU7zO7OEDmowReTx7eZU8gNN1dva9s80v1HdFj8JSreikaQQ5V7m+LqnM8VOcjQM/BmYs/H5KujfyP3f+xbQoQgNQ8+eUyQ0VuMy6qWBd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1553</Words>
  <Characters>8544</Characters>
  <Application>Microsoft Office Word</Application>
  <DocSecurity>0</DocSecurity>
  <Lines>71</Lines>
  <Paragraphs>20</Paragraphs>
  <ScaleCrop>false</ScaleCrop>
  <Company/>
  <LinksUpToDate>false</LinksUpToDate>
  <CharactersWithSpaces>10077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van Paassen</dc:creator>
  <cp:lastModifiedBy>Paassen, J. van (IC)</cp:lastModifiedBy>
  <cp:revision>4</cp:revision>
  <dcterms:created xsi:type="dcterms:W3CDTF">2022-12-28T21:03:00Z</dcterms:created>
  <dcterms:modified xsi:type="dcterms:W3CDTF">2023-01-09T16:34:00Z</dcterms:modified>
</cp:coreProperties>
</file>