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985"/>
        <w:tblW w:w="0" w:type="auto"/>
        <w:tblLook w:val="04A0"/>
      </w:tblPr>
      <w:tblGrid>
        <w:gridCol w:w="1513"/>
        <w:gridCol w:w="1387"/>
        <w:gridCol w:w="1723"/>
        <w:gridCol w:w="2265"/>
        <w:gridCol w:w="2184"/>
        <w:gridCol w:w="504"/>
      </w:tblGrid>
      <w:tr w:rsidR="00A72F0B" w:rsidRPr="007B287E" w:rsidTr="007B287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F0B" w:rsidRPr="007B287E" w:rsidRDefault="00A72F0B" w:rsidP="007B287E">
            <w:pPr>
              <w:tabs>
                <w:tab w:val="left" w:pos="1894"/>
              </w:tabs>
              <w:spacing w:after="0" w:line="240" w:lineRule="auto"/>
              <w:ind w:left="1074" w:hanging="107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Study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Sample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Design /Framework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Methods/Intervention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Results/Outcome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LOE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Adekeye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Heiman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Onyeabor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,&amp; Hyacinth (2012).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N=12,366  Adults over age 50 in the U.S.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Database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Data review from 2009 National Health Interview Survey (NHIS)  on HIV perceptions &amp;practices by adults over age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HIV screening rate approx 25%;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 xml:space="preserve"> Patient perception of low risk related to low likelihood for planned screening;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>approx 50% of screenings were suggested by PCPs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Farrell&amp;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Belza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(2012).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N=101   Adults           Women=71  Men=26                     (age 62-92) in Washington state from 9 community senior groups.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Quantitative cross sectional study Jan-Mar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24 item survey to assess if older adults: (a) have unanswered questions about their sexual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>health  (b) are asked about their sexual health, disease,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>and medications that could affect their sexual health, and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>their knowledge of STDs and HIV/AIDS; (c) would welcome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>a care provider initiating the conversation about their sexual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>health; (d) would be comfortable with discussing their sexual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>health with a nurse; and (e) identify some barriers to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>discussing sexual health for the older adult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84% of older adults surveyed would accept taking educational material home and returning with questions (84% p=0.09)                                                     72% of men want to be asked about sexual health at office visit (p&lt;0.01); 84% are NOT asked about sexual health during an office visit (p&lt;0.01)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Gott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Hinchliff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, &amp; Galena (2004).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N=57   22 GPs and 35 practice nurses recruited from diverse practices throughout Sheffield,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 xml:space="preserve"> England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Interviews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Semi-structured interviews were conducted to collect General Practitioner (GP) attitudes on discussing sexual health issues with older people.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GPs and practice nurses do not address sexual health issues proactively with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patients, and this area warrants further attention if policy recommendations to expand the role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of primary care within sexual health management are to be met.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F0B" w:rsidRPr="007B287E" w:rsidRDefault="00A72F0B" w:rsidP="007B28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87E">
              <w:rPr>
                <w:rFonts w:ascii="Arial" w:hAnsi="Arial" w:cs="Arial"/>
                <w:color w:val="000000"/>
                <w:sz w:val="14"/>
                <w:szCs w:val="14"/>
              </w:rPr>
              <w:t xml:space="preserve">Horsley, Hyde, </w:t>
            </w:r>
            <w:proofErr w:type="spellStart"/>
            <w:r w:rsidRPr="007B287E">
              <w:rPr>
                <w:rFonts w:ascii="Arial" w:hAnsi="Arial" w:cs="Arial"/>
                <w:color w:val="000000"/>
                <w:sz w:val="14"/>
                <w:szCs w:val="14"/>
              </w:rPr>
              <w:t>Santesso</w:t>
            </w:r>
            <w:proofErr w:type="spellEnd"/>
            <w:r w:rsidRPr="007B287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B287E">
              <w:rPr>
                <w:rFonts w:ascii="Arial" w:hAnsi="Arial" w:cs="Arial"/>
                <w:color w:val="000000"/>
                <w:sz w:val="14"/>
                <w:szCs w:val="14"/>
              </w:rPr>
              <w:t>Parkes</w:t>
            </w:r>
            <w:proofErr w:type="spellEnd"/>
            <w:r w:rsidRPr="007B287E">
              <w:rPr>
                <w:rFonts w:ascii="Arial" w:hAnsi="Arial" w:cs="Arial"/>
                <w:color w:val="000000"/>
                <w:sz w:val="14"/>
                <w:szCs w:val="14"/>
              </w:rPr>
              <w:t>, Milne, &amp; Stewart,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F0B" w:rsidRPr="007B287E" w:rsidRDefault="00A72F0B" w:rsidP="007B28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87E">
              <w:rPr>
                <w:rFonts w:ascii="Arial" w:hAnsi="Arial" w:cs="Arial"/>
                <w:color w:val="000000"/>
                <w:sz w:val="14"/>
                <w:szCs w:val="14"/>
              </w:rPr>
              <w:t>N= 3 studies (involved 272 total individuals)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87E">
              <w:rPr>
                <w:rFonts w:ascii="Arial" w:hAnsi="Arial" w:cs="Arial"/>
                <w:color w:val="000000"/>
                <w:sz w:val="14"/>
                <w:szCs w:val="14"/>
              </w:rPr>
              <w:t>Cochrane Database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87E">
              <w:rPr>
                <w:rFonts w:ascii="Arial" w:hAnsi="Arial" w:cs="Arial"/>
                <w:color w:val="000000"/>
                <w:sz w:val="14"/>
                <w:szCs w:val="14"/>
              </w:rPr>
              <w:t>Updated Parks et al. Cochrane Review, 2001. Evaluation of various trials on effectiveness of educational interventions teaching critical appraisal to health professionals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87E">
              <w:rPr>
                <w:rFonts w:ascii="Arial" w:hAnsi="Arial" w:cs="Arial"/>
                <w:color w:val="000000"/>
                <w:sz w:val="14"/>
                <w:szCs w:val="14"/>
              </w:rPr>
              <w:t>Low-intensity critical appraisal teaching interventions in healthcare populations may result in modest gains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0B" w:rsidRPr="007B287E" w:rsidRDefault="00A72F0B" w:rsidP="007B28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87E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Jena, Goldman,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Kamdar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Lakdawalla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, &amp; Lu, (2010).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N=1,410,806             Men in the U.S.                     over age 40</w:t>
            </w:r>
          </w:p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(1997-2006) database claims review:</w:t>
            </w:r>
          </w:p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33,968 men with 1+ED prescription</w:t>
            </w:r>
          </w:p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1,376,838 men without ED prescriptions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Retrospective cohort study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STDs among users of erectile dysfunction (ED) drugs: analysis of claims data.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Users of ED drugs had higher rates of STDs than nonusers the year before initiating ED drug therapy (214 vs. 106 annually per 100,000 persons; P = 0.003) and the year after (105 vs. 65; P = 0.004). The observed association between ED drug use and STDs may have more to do with the types of patients using ED drugs rather than a direct effect of ED drug availability on STD rates. Counseling about safe sexual practices and screening for STDs should accompany the prescription of ED drugs.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Kamb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, et al. (1998)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N=5,758       Heterosexual, HIV-negative patients over age 14 seeking  STD exams at 5 nationwide US urban STD clinics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RCT of 5 urban American public STD clinics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(Project RESPECT)</w:t>
            </w:r>
          </w:p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Comparison of interactive HIV/STD counseling interventions with didactic prevention messages typical of current practice &amp; enhanced counseling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 xml:space="preserve"> arms 1, 2, &amp; 3 were actively followed up after enrollment with questionnaires at 3, 6, 9, and 12 months 3, 6, 9, &amp; 12 months 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 xml:space="preserve"> STD tests at 6 &amp; 12 months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 xml:space="preserve">Arm 1 received enhanced counseling, 4 interactive theory-based  sessions. 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Arm 2 received brief counseling, 2 interactive risk-reduction sessions. Arms 3 &amp; 4 each received 2 brief didactic messages typical of current care.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100% higher condom use; enhanced counseling = 30% fewer STDs @ 6month follow up(f/u) &amp; 20% at 12 month f/u.  Supported STD counseling effectiveness with brief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Laumann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Nicolosi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Glasser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Paik,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Gingell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Moreira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,&amp; Wang (2005).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N=20,205    Women=9,000  Men=11,205   Adults that had sexual intercourse in the previous 12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29 country survey of sexual behavior and sexual dysfunctions of adults (over age 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ED &amp; vaginal lubrication common problems for all regions.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Levy, Ding,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Lakra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Kosteas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,&amp;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Niccolai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(2007).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N=143 STD  U.S. reduction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Database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Systematic review of  U.S. reduction trials published between 1994-2005 in MEDLINE on STD reduction trials focusing on unsafe sexual practices.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2/3 of 143 studies excluded those 50 and older. 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>None included people over age 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Study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Sample 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Design /Framework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Methods/Intervention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Results/Outcome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LOE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Lindau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Schumm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Laumann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Levinson,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O’Muircheartaigh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,&amp; Waite (2007).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N=3,005  U.S. Adults (age 57-85)  Women =1550  Men=1455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Survey &amp; interviews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Survey and in-home interview/assessment to collect sexual practice and sexual history data---&gt;Measurement of: sexual activity (frequency), behavior, &amp; problems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38.5% of men (age 75-85) are sexually active.  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 xml:space="preserve">60% of men &amp; 39% of women (age 65-74) sexually active. 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 xml:space="preserve"> 43%women=vaginal lubrication problems; 37% men=ED problems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Men &gt; women reported being sexually active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oral sex: 58% of age 57-64 &amp; 31% of age 75-85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Magnan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, Reynolds, &amp; Galvin (2005).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 xml:space="preserve">N= 148  convenience sample of nurses in urban center   Women=135             Men=9  </w:t>
            </w:r>
            <w:proofErr w:type="spellStart"/>
            <w:r w:rsidRPr="007B287E">
              <w:rPr>
                <w:rFonts w:ascii="Arial" w:hAnsi="Arial" w:cs="Arial"/>
                <w:sz w:val="14"/>
                <w:szCs w:val="14"/>
              </w:rPr>
              <w:t>Unk</w:t>
            </w:r>
            <w:proofErr w:type="spellEnd"/>
            <w:r w:rsidRPr="007B287E">
              <w:rPr>
                <w:rFonts w:ascii="Arial" w:hAnsi="Arial" w:cs="Arial"/>
                <w:sz w:val="14"/>
                <w:szCs w:val="14"/>
              </w:rPr>
              <w:t xml:space="preserve"> = 4              Working experience 1-43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Descriptive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correlational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study to identify potential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 xml:space="preserve">barriers to incorporating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considerationsof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patient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sexualityinto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nursing practice.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SABS (Survey) given to nurses in urban medical center on personal attitudes and beliefs about incorporating patient sexuality assessment and counseling into nursing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Scores (18-62; M=32)    48% of nurses were uncomfortable to discuss sexuality with patients; 78%  had perception that patients do not expect nurses to address their sexuality concerns is a barrier to screening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Mahieu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Van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Elssen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&amp;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Gastmans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(2011).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N=18 studies total   from Jan 1980-Sept 2010;                                  14 quantitative &amp; 4 qualitative</w:t>
            </w:r>
            <w:r w:rsidRPr="007B287E">
              <w:rPr>
                <w:rFonts w:ascii="Arial" w:hAnsi="Arial" w:cs="Arial"/>
                <w:sz w:val="14"/>
                <w:szCs w:val="14"/>
              </w:rPr>
              <w:br w:type="page"/>
              <w:t>USA studies (n = 10); UK (n = 2); Australia, South Africa, Israel, Taiwan &amp; Belgium (n = 1)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Quantitative Literature Review of online studies: search of the databases Medline,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Cinahl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Psychinfo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, Web of Science, Philosophers Index,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Google Scholar, and Invert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Articles were included if they met each of the following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criteria: (1) primary, empirical research with a quantitative,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qualitative, or mixed method design, (2) concerned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the knowledge, attitudes, and experiences of nursing staff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toward sexuality, (3) concerned institutionalized older adults,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and (4) published in English, Dutch, German, or French.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Knowledge and Attitudes Toward Elderly Sexuality (KATES) &amp;Aging Sexual Knowledge and Attitudes Scale (ASKAS)  Review included 9 studies on ASKAS &amp; KATES instruments,(7 &amp; 2, respectively)                                                                                                                    Results showed nurses had generally limited knowledge 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Study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Sample 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Design /Framework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Methods/Intervention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Results/Outcome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LOE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Mahieu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de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Casterlé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Van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Elssen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&amp;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Gastmans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(2013).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N=8    Flemish nursing homes Mar-Apr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Instrument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ASKAS instrument validity &amp; internal consistency test in Flemish nursing homes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Good Instrument validity: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Cronbach’s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α was 0.80 and0.88 for the knowledge and attitude subscales, respectively.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Ng, Butler, Horvath, &amp; Rutherford, (2011).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Database Review-Cochrane Database of Systematic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RCT international studies on effects of STD interventions related to HIV infection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Significant reduction of syphilis &amp; gonorrhea rates with intervention, no improvement for HIV rates.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Olivi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, Santana, &amp; Mathias (2008).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 165 Convenience sample Brazilian adults over age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Survey &amp; interviews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Sample from initial 425 were interviewed &amp; surveyed on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STDtransmission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and prevention, and perceived risk for infection.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Men reported more sexual relations and a much lower percentage of HIV screenings.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 xml:space="preserve">Perception held by approx 25% that only certain population contracted STDs (e.g. drug abusers) over 80% negative condom use with last relationship; 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 xml:space="preserve">Only 13% always wore condoms. 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Perception of risk was associated with non condom use (P&lt;0.001)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Orel, Wright, &amp; Wagner (2004).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N=50                              (United States)   U.S. Public Health Departments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Public Health key contact personnel in each state were surveyed with a prepared script.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>Copies of all HIV/AIDS materials for public distribution were requested and reviewed by 2 researchers.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>Collected print materials reviewed for target audience ‘‘older adult population.’’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 xml:space="preserve">Operational terms for publication selection criteria:  aged, aging, older adults, geriatric,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mature,middle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-aged, old, older, over 50, senior, and senior citizen.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Only 15 of 50 states had older adult-specific HIV/AIDS prevention material.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/>
              <w:t>Majority of information was intended for a young adult audience.    Need for older adult-specific HIV prevention educational materials:  address societal attitudes, myths, and biases encountered by older adults.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IV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Study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Sample 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Design /Framework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Methods/Intervention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Results/Outcome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LOE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Reynolds &amp;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Magnan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(2005).  Development of Sexual Attitudes and Belief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Survey (SABS) instrument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N=34                             Nurses working in outpatient clinics; ages (27-61) work experience (4.5-39 yrs);                                            Staff RN=29  APRN=3Nurse Managers=2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12 statements on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Likert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scale. Scores: 6- 72  (higher scores = more barriers to incorporating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human sexuality assessment/counseling into nursing practice.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Construct validity of the SABS was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 xml:space="preserve">significant correlation (r = 0.37, P&lt;.05) with the attitudes scale of the SKAT &amp; internally consistent measure with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Cronbach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α of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.75 and .82 over 2 separate administrations.  Stable measure of attitudes with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good test-retest reliability (r = .85; P &lt; .001) over a 7- to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10-day interval.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Saunamäki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&amp;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Engström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(2013).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N=10              Women=8 Men=2                Registered nurses in Sweden randomly chosen from 3 different county hospitals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Interviews of descriptive design &amp; qualitative approach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Interviews were conducted in 2010 for RNs' reflections on discussing sexuality with patients and RN responsibilities, doubts and fears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Main themes included RN embarrassment &amp; lack of training to adequately discuss sexuality with patients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Saunamäki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Andersson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, &amp;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Engström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(2010) Evaluation of SABS vs. SKAS instruments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 xml:space="preserve">N=88                            Women=84   Men=3    &amp; 1 </w:t>
            </w:r>
            <w:proofErr w:type="spellStart"/>
            <w:r w:rsidRPr="007B287E">
              <w:rPr>
                <w:rFonts w:ascii="Arial" w:hAnsi="Arial" w:cs="Arial"/>
                <w:sz w:val="14"/>
                <w:szCs w:val="14"/>
              </w:rPr>
              <w:t>unk</w:t>
            </w:r>
            <w:proofErr w:type="spellEnd"/>
            <w:r w:rsidRPr="007B287E">
              <w:rPr>
                <w:rFonts w:ascii="Arial" w:hAnsi="Arial" w:cs="Arial"/>
                <w:sz w:val="14"/>
                <w:szCs w:val="14"/>
              </w:rPr>
              <w:t xml:space="preserve"> gender            Convenience sample of Swedish nurses in 5 medical &amp; 5 surgical wards in 2006.  Ages (22-64) with </w:t>
            </w:r>
            <w:proofErr w:type="spellStart"/>
            <w:r w:rsidRPr="007B287E">
              <w:rPr>
                <w:rFonts w:ascii="Arial" w:hAnsi="Arial" w:cs="Arial"/>
                <w:sz w:val="14"/>
                <w:szCs w:val="14"/>
              </w:rPr>
              <w:t>ave</w:t>
            </w:r>
            <w:proofErr w:type="spellEnd"/>
            <w:r w:rsidRPr="007B287E">
              <w:rPr>
                <w:rFonts w:ascii="Arial" w:hAnsi="Arial" w:cs="Arial"/>
                <w:sz w:val="14"/>
                <w:szCs w:val="14"/>
              </w:rPr>
              <w:t xml:space="preserve"> age 40yr. Work experience 5 months-40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Correlational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&amp; comparative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Written survey of RNs using Sexual Attitudes and beliefs (SABS): 12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Likert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scale statements with possible scores 12-72 (high score=more barriers to patient sexuality discussion)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60% of nurses weren't confident to address patient sexual concerns; higher scores were associated with greater work experience, education and increased age.  More training and emphasis on patient sexuality in nursing education recommended.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III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Study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Sample 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Design /Framework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Methods/Intervention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Results/Outcome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LOE</w:t>
            </w: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Waterman (2012) (abstract)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N=153</w:t>
            </w:r>
          </w:p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Women=100</w:t>
            </w:r>
          </w:p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Men=53</w:t>
            </w:r>
          </w:p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Siena College students</w:t>
            </w:r>
          </w:p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(age 17-21)  randomly assigned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Reactions tested  to the sexuality of 3 different age groups:</w:t>
            </w:r>
          </w:p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30-35, 50-55, and 70-75</w:t>
            </w:r>
          </w:p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With 10 different scenarios.</w:t>
            </w:r>
          </w:p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Participants were told to rate their feelings on the activities in sexual scenarios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Age of target was found statistically significant for all reactions, with responses less favorable toward older targets;</w:t>
            </w:r>
          </w:p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strong bias against the sexuality of older people.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III</w:t>
            </w:r>
          </w:p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A72F0B" w:rsidRPr="007B287E" w:rsidTr="007B28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White (1982).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87E">
              <w:rPr>
                <w:rFonts w:ascii="Arial" w:hAnsi="Arial" w:cs="Arial"/>
                <w:sz w:val="14"/>
                <w:szCs w:val="14"/>
              </w:rPr>
              <w:t>N= (30-163) Varied for groups assessed:                                 Nursing Home Staff (N=163)                                Persons employed with older adults (N=30);                    Families of older adults (N=30)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Survey Testing Aging Sexual Knowledge and Attitudes Scale (ASKAS)instrument for the assessment of sexual cognitions related to the aged; developed from 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(SKAT) instrument (assesses the general sexual knowledge and sexual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attitudes of medical students)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61 total questions:                                  35 true-false &amp; "don't know" +  26 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Likert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(7-point scale) for agree/ disagree.                                               T/F = knowledge about older adult sexuality;                                                                               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Likert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 xml:space="preserve"> =attitudes toward older adult sexuality.                                                         Low score=                                                    high "Knowledge" &amp; permissive "Attitude"                                       Possible scores:                                                  Knowledge: 35-105                                         Attitude: 26-182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All reliabilities (&gt; 0.85).  The instrument is objectively scored, demands little or no training in its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>administration, may be given in either pencil-and-paper format or by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  <w:t xml:space="preserve">personal interview, and is machine </w:t>
            </w:r>
            <w:proofErr w:type="spellStart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scoreable</w:t>
            </w:r>
            <w:proofErr w:type="spellEnd"/>
            <w:r w:rsidRPr="007B287E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7B287E">
              <w:rPr>
                <w:rFonts w:ascii="Arial" w:eastAsia="Times New Roman" w:hAnsi="Arial" w:cs="Arial"/>
                <w:sz w:val="14"/>
                <w:szCs w:val="14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2F0B" w:rsidRPr="007B287E" w:rsidRDefault="00A72F0B" w:rsidP="007B2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B287E">
              <w:rPr>
                <w:rFonts w:ascii="Arial" w:eastAsia="Times New Roman" w:hAnsi="Arial" w:cs="Arial"/>
                <w:sz w:val="14"/>
                <w:szCs w:val="14"/>
              </w:rPr>
              <w:t>III</w:t>
            </w:r>
          </w:p>
        </w:tc>
      </w:tr>
      <w:tr w:rsidR="00A72F0B" w:rsidRPr="007B287E" w:rsidTr="007B28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2F0B" w:rsidRPr="007B287E" w:rsidRDefault="00A72F0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3735B" w:rsidRPr="000A3D78" w:rsidRDefault="007B287E" w:rsidP="00D3735B">
      <w:pPr>
        <w:rPr>
          <w:rFonts w:ascii="Times New Roman" w:hAnsi="Times New Roman" w:cs="Times New Roman"/>
          <w:b/>
          <w:sz w:val="20"/>
          <w:szCs w:val="20"/>
        </w:rPr>
      </w:pPr>
      <w:r w:rsidRPr="000A3D78">
        <w:rPr>
          <w:rFonts w:ascii="Times New Roman" w:hAnsi="Times New Roman" w:cs="Times New Roman"/>
          <w:b/>
          <w:sz w:val="20"/>
          <w:szCs w:val="20"/>
        </w:rPr>
        <w:t>Data Statistical</w:t>
      </w:r>
      <w:r w:rsidR="00D3735B" w:rsidRPr="000A3D78">
        <w:rPr>
          <w:rFonts w:ascii="Times New Roman" w:hAnsi="Times New Roman" w:cs="Times New Roman"/>
          <w:b/>
          <w:sz w:val="20"/>
          <w:szCs w:val="20"/>
        </w:rPr>
        <w:t xml:space="preserve"> Results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5"/>
        <w:gridCol w:w="691"/>
        <w:gridCol w:w="792"/>
        <w:gridCol w:w="613"/>
        <w:gridCol w:w="963"/>
        <w:gridCol w:w="1352"/>
      </w:tblGrid>
      <w:tr w:rsidR="00D3735B" w:rsidRPr="00AB3E82" w:rsidTr="007B287E">
        <w:trPr>
          <w:cantSplit/>
        </w:trPr>
        <w:tc>
          <w:tcPr>
            <w:tcW w:w="0" w:type="auto"/>
            <w:gridSpan w:val="6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bCs/>
                <w:color w:val="000000"/>
                <w:sz w:val="14"/>
                <w:szCs w:val="14"/>
              </w:rPr>
              <w:t>Age</w:t>
            </w:r>
          </w:p>
        </w:tc>
      </w:tr>
      <w:tr w:rsidR="00D3735B" w:rsidRPr="00AB3E82" w:rsidTr="007B287E">
        <w:trPr>
          <w:cantSplit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Frequency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Percent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Valid Percent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Cumulative Percent</w:t>
            </w:r>
          </w:p>
        </w:tc>
      </w:tr>
      <w:tr w:rsidR="00D3735B" w:rsidRPr="00AB3E82" w:rsidTr="007B287E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Valid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20-25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96.5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100.0</w:t>
            </w:r>
          </w:p>
        </w:tc>
      </w:tr>
      <w:tr w:rsidR="00D3735B" w:rsidRPr="00AB3E82" w:rsidTr="007B287E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Missing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735B" w:rsidRPr="00AB3E82" w:rsidTr="007B287E">
        <w:trPr>
          <w:cantSplit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Total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735B" w:rsidRPr="00AB3E82" w:rsidTr="007B287E">
        <w:trPr>
          <w:cantSplit/>
        </w:trPr>
        <w:tc>
          <w:tcPr>
            <w:tcW w:w="0" w:type="auto"/>
            <w:gridSpan w:val="6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bCs/>
                <w:color w:val="000000"/>
                <w:sz w:val="14"/>
                <w:szCs w:val="14"/>
              </w:rPr>
              <w:t>Gender</w:t>
            </w:r>
          </w:p>
        </w:tc>
      </w:tr>
      <w:tr w:rsidR="00D3735B" w:rsidRPr="00AB3E82" w:rsidTr="007B287E">
        <w:trPr>
          <w:cantSplit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Frequency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Percent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Valid Percent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Cumulative Percent</w:t>
            </w:r>
          </w:p>
        </w:tc>
      </w:tr>
      <w:tr w:rsidR="00D3735B" w:rsidRPr="00AB3E82" w:rsidTr="007B287E">
        <w:trPr>
          <w:cantSplit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Valid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93.0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94.6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94.6</w:t>
            </w:r>
          </w:p>
        </w:tc>
      </w:tr>
      <w:tr w:rsidR="00D3735B" w:rsidRPr="00AB3E82" w:rsidTr="007B287E">
        <w:trPr>
          <w:cantSplit/>
        </w:trPr>
        <w:tc>
          <w:tcPr>
            <w:tcW w:w="0" w:type="auto"/>
            <w:vMerge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100.0</w:t>
            </w:r>
          </w:p>
        </w:tc>
      </w:tr>
      <w:tr w:rsidR="00D3735B" w:rsidRPr="00AB3E82" w:rsidTr="007B287E">
        <w:trPr>
          <w:cantSplit/>
        </w:trPr>
        <w:tc>
          <w:tcPr>
            <w:tcW w:w="0" w:type="auto"/>
            <w:vMerge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98.2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735B" w:rsidRPr="00AB3E82" w:rsidTr="007B287E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Missing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735B" w:rsidRPr="00AB3E82" w:rsidTr="007B287E">
        <w:trPr>
          <w:cantSplit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3E82">
              <w:rPr>
                <w:rFonts w:ascii="Arial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3735B" w:rsidRPr="00AB3E82" w:rsidRDefault="00D3735B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3735B" w:rsidRDefault="00D3735B" w:rsidP="00D3735B">
      <w:r>
        <w:br w:type="page"/>
      </w:r>
    </w:p>
    <w:p w:rsidR="00D76C2F" w:rsidRPr="000A3D78" w:rsidRDefault="00BE5968" w:rsidP="00C33A0B">
      <w:pPr>
        <w:rPr>
          <w:b/>
          <w:sz w:val="20"/>
          <w:szCs w:val="20"/>
        </w:rPr>
      </w:pPr>
      <w:r w:rsidRPr="000A3D78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Worked previously with</w:t>
      </w:r>
      <w:r w:rsidR="00A17222" w:rsidRPr="000A3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A3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Older Adults</w:t>
      </w:r>
    </w:p>
    <w:tbl>
      <w:tblPr>
        <w:tblpPr w:leftFromText="180" w:rightFromText="180" w:vertAnchor="page" w:horzAnchor="margin" w:tblpXSpec="center" w:tblpY="1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2"/>
        <w:gridCol w:w="442"/>
        <w:gridCol w:w="792"/>
        <w:gridCol w:w="613"/>
        <w:gridCol w:w="963"/>
        <w:gridCol w:w="1352"/>
      </w:tblGrid>
      <w:tr w:rsidR="00F72BFA" w:rsidRPr="00F72BFA" w:rsidTr="007B287E">
        <w:trPr>
          <w:cantSplit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Frequency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Percent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Valid Percent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Cumulative Percent</w:t>
            </w:r>
          </w:p>
        </w:tc>
      </w:tr>
      <w:tr w:rsidR="00F72BFA" w:rsidRPr="00F72BFA" w:rsidTr="007B287E">
        <w:trPr>
          <w:cantSplit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Valid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52.6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52.6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52.6</w:t>
            </w:r>
          </w:p>
        </w:tc>
      </w:tr>
      <w:tr w:rsidR="00F72BFA" w:rsidRPr="00F72BFA" w:rsidTr="007B287E">
        <w:trPr>
          <w:cantSplit/>
        </w:trPr>
        <w:tc>
          <w:tcPr>
            <w:tcW w:w="0" w:type="auto"/>
            <w:vMerge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47.4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47.4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100.0</w:t>
            </w:r>
          </w:p>
        </w:tc>
      </w:tr>
      <w:tr w:rsidR="00F72BFA" w:rsidRPr="00F72BFA" w:rsidTr="007B287E">
        <w:trPr>
          <w:cantSplit/>
        </w:trPr>
        <w:tc>
          <w:tcPr>
            <w:tcW w:w="0" w:type="auto"/>
            <w:vMerge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76C2F" w:rsidRPr="00D76C2F" w:rsidRDefault="00D76C2F" w:rsidP="00D76C2F"/>
    <w:p w:rsidR="006C0101" w:rsidRDefault="006C0101" w:rsidP="00D76C2F">
      <w:pPr>
        <w:tabs>
          <w:tab w:val="left" w:pos="1997"/>
        </w:tabs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C0101" w:rsidRDefault="006C0101" w:rsidP="00D76C2F">
      <w:pPr>
        <w:tabs>
          <w:tab w:val="left" w:pos="1997"/>
        </w:tabs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C0101" w:rsidRDefault="006C0101" w:rsidP="00D76C2F">
      <w:pPr>
        <w:tabs>
          <w:tab w:val="left" w:pos="1997"/>
        </w:tabs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C0101" w:rsidRPr="000A3D78" w:rsidRDefault="006C0101" w:rsidP="00D76C2F">
      <w:pPr>
        <w:tabs>
          <w:tab w:val="left" w:pos="1997"/>
        </w:tabs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76C2F" w:rsidRPr="000A3D78" w:rsidRDefault="006F3BED" w:rsidP="00D76C2F">
      <w:pPr>
        <w:tabs>
          <w:tab w:val="left" w:pos="1997"/>
        </w:tabs>
        <w:rPr>
          <w:b/>
          <w:sz w:val="20"/>
          <w:szCs w:val="20"/>
        </w:rPr>
      </w:pPr>
      <w:r w:rsidRPr="000A3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Subjects who previously worked </w:t>
      </w:r>
      <w:r w:rsidR="007B287E" w:rsidRPr="000A3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with Older</w:t>
      </w:r>
      <w:r w:rsidRPr="000A3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Adult </w:t>
      </w:r>
      <w:r w:rsidR="007B287E" w:rsidRPr="000A3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 their</w:t>
      </w:r>
      <w:r w:rsidRPr="000A3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5"/>
        <w:gridCol w:w="3227"/>
        <w:gridCol w:w="792"/>
        <w:gridCol w:w="613"/>
        <w:gridCol w:w="963"/>
        <w:gridCol w:w="1352"/>
      </w:tblGrid>
      <w:tr w:rsidR="006F3BED" w:rsidRPr="00F72BFA" w:rsidTr="007B287E">
        <w:trPr>
          <w:cantSplit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Frequency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Percent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Valid Percent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Cumulative Percent</w:t>
            </w:r>
          </w:p>
        </w:tc>
      </w:tr>
      <w:tr w:rsidR="006F3BED" w:rsidRPr="00F72BFA" w:rsidTr="007B287E">
        <w:trPr>
          <w:cantSplit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Valid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FAMILY MEMBER CARE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3.7</w:t>
            </w:r>
          </w:p>
        </w:tc>
      </w:tr>
      <w:tr w:rsidR="006F3BED" w:rsidRPr="00F72BFA" w:rsidTr="007B287E">
        <w:trPr>
          <w:cantSplit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EMPLOYED OLDER ADULT FACILITY/SETTING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22.8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48.1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51.9</w:t>
            </w:r>
          </w:p>
        </w:tc>
      </w:tr>
      <w:tr w:rsidR="006F3BED" w:rsidRPr="00F72BFA" w:rsidTr="007B287E">
        <w:trPr>
          <w:cantSplit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VOLUNTEER FOR OLDER ADULT SETTING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14.0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29.6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81.5</w:t>
            </w:r>
          </w:p>
        </w:tc>
      </w:tr>
      <w:tr w:rsidR="006F3BED" w:rsidRPr="00F72BFA" w:rsidTr="007B287E">
        <w:trPr>
          <w:cantSplit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HOSPITAL PCA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14.8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96.3</w:t>
            </w:r>
          </w:p>
        </w:tc>
      </w:tr>
      <w:tr w:rsidR="006F3BED" w:rsidRPr="00F72BFA" w:rsidTr="007B287E">
        <w:trPr>
          <w:cantSplit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SURGEON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100.0</w:t>
            </w:r>
          </w:p>
        </w:tc>
      </w:tr>
      <w:tr w:rsidR="006F3BED" w:rsidRPr="00F72BFA" w:rsidTr="007B287E">
        <w:trPr>
          <w:cantSplit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47.4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F3BED" w:rsidRPr="00F72BFA" w:rsidTr="007B287E">
        <w:trPr>
          <w:cantSplit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Missing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52.6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3BED" w:rsidRPr="00F72BFA" w:rsidRDefault="006F3BED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F3BED" w:rsidRPr="00D76C2F" w:rsidRDefault="006F3BED" w:rsidP="00D76C2F">
      <w:pPr>
        <w:tabs>
          <w:tab w:val="left" w:pos="1997"/>
        </w:tabs>
      </w:pPr>
    </w:p>
    <w:p w:rsidR="00F72BFA" w:rsidRPr="00906C39" w:rsidRDefault="00F72BFA" w:rsidP="00F72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6C39">
        <w:rPr>
          <w:rFonts w:ascii="Times New Roman" w:hAnsi="Times New Roman" w:cs="Times New Roman"/>
          <w:sz w:val="20"/>
          <w:szCs w:val="20"/>
        </w:rPr>
        <w:t>Students of one particular gender perform better in the clinical questions.</w:t>
      </w:r>
    </w:p>
    <w:p w:rsidR="00F72BFA" w:rsidRPr="007B287E" w:rsidRDefault="00F72BFA" w:rsidP="00F72BFA">
      <w:pPr>
        <w:pStyle w:val="ListParagrap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28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Group Statistics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6"/>
        <w:gridCol w:w="691"/>
        <w:gridCol w:w="286"/>
        <w:gridCol w:w="481"/>
        <w:gridCol w:w="1002"/>
        <w:gridCol w:w="1119"/>
      </w:tblGrid>
      <w:tr w:rsidR="00F72BFA" w:rsidRPr="00F72BFA" w:rsidTr="007B287E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Gender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Std. Deviation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Std. Error Mean</w:t>
            </w:r>
          </w:p>
        </w:tc>
      </w:tr>
      <w:tr w:rsidR="00F72BFA" w:rsidRPr="00F72BFA" w:rsidTr="007B287E">
        <w:trPr>
          <w:cantSplit/>
          <w:trHeight w:val="2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F72BFA" w:rsidRPr="00F72BFA" w:rsidRDefault="007B287E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Total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4.47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1.310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.180</w:t>
            </w:r>
          </w:p>
        </w:tc>
      </w:tr>
      <w:tr w:rsidR="00F72BFA" w:rsidRPr="00F72BFA" w:rsidTr="007B287E">
        <w:trPr>
          <w:cantSplit/>
          <w:trHeight w:val="2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3.67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2.082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BFA" w:rsidRPr="00F72BFA" w:rsidRDefault="00F72BFA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2BFA">
              <w:rPr>
                <w:rFonts w:ascii="Arial" w:hAnsi="Arial" w:cs="Arial"/>
                <w:color w:val="000000"/>
                <w:sz w:val="14"/>
                <w:szCs w:val="14"/>
              </w:rPr>
              <w:t>1.202</w:t>
            </w:r>
          </w:p>
        </w:tc>
      </w:tr>
    </w:tbl>
    <w:p w:rsidR="00F72BFA" w:rsidRDefault="00F72BFA" w:rsidP="00F72BFA">
      <w:pPr>
        <w:pStyle w:val="ListParagraph"/>
        <w:rPr>
          <w:rFonts w:ascii="Times New Roman" w:hAnsi="Times New Roman" w:cs="Times New Roman"/>
        </w:rPr>
      </w:pPr>
    </w:p>
    <w:p w:rsidR="00906C39" w:rsidRDefault="00906C39" w:rsidP="00F72BFA">
      <w:pPr>
        <w:pStyle w:val="ListParagraph"/>
        <w:rPr>
          <w:rFonts w:ascii="Times New Roman" w:hAnsi="Times New Roman" w:cs="Times New Roman"/>
        </w:rPr>
      </w:pPr>
    </w:p>
    <w:p w:rsidR="00906C39" w:rsidRDefault="00906C39" w:rsidP="00F72BFA">
      <w:pPr>
        <w:pStyle w:val="ListParagrap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6C39" w:rsidRDefault="00906C39" w:rsidP="00F72BFA">
      <w:pPr>
        <w:pStyle w:val="ListParagrap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6C39" w:rsidRDefault="00906C39" w:rsidP="00F72BFA">
      <w:pPr>
        <w:pStyle w:val="ListParagrap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6C39" w:rsidRDefault="00906C39" w:rsidP="00F72BFA">
      <w:pPr>
        <w:pStyle w:val="ListParagrap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6C39" w:rsidRDefault="00906C39" w:rsidP="00F72BFA">
      <w:pPr>
        <w:pStyle w:val="ListParagrap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287E" w:rsidRDefault="007B287E" w:rsidP="00F72BFA">
      <w:pPr>
        <w:pStyle w:val="ListParagrap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6C39" w:rsidRPr="00053C5C" w:rsidRDefault="00906C39" w:rsidP="00F72BFA">
      <w:pPr>
        <w:pStyle w:val="ListParagrap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53C5C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Independent Samples Test</w:t>
      </w:r>
    </w:p>
    <w:p w:rsidR="00906C39" w:rsidRPr="00F72BFA" w:rsidRDefault="00906C39" w:rsidP="00F72BFA">
      <w:pPr>
        <w:pStyle w:val="ListParagraph"/>
        <w:rPr>
          <w:rFonts w:ascii="Times New Roman" w:hAnsi="Times New Roman" w:cs="Times New Roman"/>
        </w:rPr>
      </w:pPr>
    </w:p>
    <w:p w:rsidR="00D76C2F" w:rsidRPr="00D76C2F" w:rsidRDefault="00D76C2F" w:rsidP="00D76C2F"/>
    <w:p w:rsidR="00D76C2F" w:rsidRPr="00D76C2F" w:rsidRDefault="00D76C2F" w:rsidP="00D76C2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1"/>
        <w:gridCol w:w="1350"/>
        <w:gridCol w:w="937"/>
        <w:gridCol w:w="784"/>
        <w:gridCol w:w="481"/>
        <w:gridCol w:w="481"/>
        <w:gridCol w:w="738"/>
        <w:gridCol w:w="964"/>
        <w:gridCol w:w="1088"/>
        <w:gridCol w:w="948"/>
        <w:gridCol w:w="928"/>
      </w:tblGrid>
      <w:tr w:rsidR="00906C39" w:rsidRPr="00906C39" w:rsidTr="007B287E">
        <w:trPr>
          <w:cantSplit/>
          <w:trHeight w:val="20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Levene's</w:t>
            </w:r>
            <w:proofErr w:type="spellEnd"/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 xml:space="preserve"> Test for Equality of Variances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t-test for Equality of Means</w:t>
            </w:r>
          </w:p>
        </w:tc>
      </w:tr>
      <w:tr w:rsidR="000A3D78" w:rsidRPr="00906C39" w:rsidTr="007B287E">
        <w:trPr>
          <w:cantSplit/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Sig.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df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Sig. (2-tailed)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Mean Difference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Std. Error Difference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95% Confidence Interval of the Difference</w:t>
            </w:r>
          </w:p>
        </w:tc>
      </w:tr>
      <w:tr w:rsidR="000A3D78" w:rsidRPr="00906C39" w:rsidTr="007B287E">
        <w:trPr>
          <w:cantSplit/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Lower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Upper</w:t>
            </w:r>
          </w:p>
        </w:tc>
      </w:tr>
      <w:tr w:rsidR="00906C39" w:rsidRPr="00906C39" w:rsidTr="007B287E">
        <w:trPr>
          <w:cantSplit/>
          <w:trHeight w:val="2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906C39" w:rsidRPr="00906C39" w:rsidRDefault="007B287E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Total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Equal variances assumed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1.204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.277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1.008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.318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.805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.799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-.797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2.407</w:t>
            </w:r>
          </w:p>
        </w:tc>
      </w:tr>
      <w:tr w:rsidR="00906C39" w:rsidRPr="00906C39" w:rsidTr="007B287E">
        <w:trPr>
          <w:cantSplit/>
          <w:trHeight w:val="2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Equal variances not assumed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.662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2.091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.573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.805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1.215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-4.212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6C39" w:rsidRPr="00906C39" w:rsidRDefault="00906C39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5.823</w:t>
            </w:r>
          </w:p>
        </w:tc>
      </w:tr>
    </w:tbl>
    <w:p w:rsidR="00906C39" w:rsidRDefault="00906C39" w:rsidP="00906C39">
      <w:pPr>
        <w:rPr>
          <w:rFonts w:ascii="Times New Roman" w:hAnsi="Times New Roman" w:cs="Times New Roman"/>
          <w:sz w:val="20"/>
          <w:szCs w:val="20"/>
        </w:rPr>
      </w:pPr>
      <w:r w:rsidRPr="00906C39">
        <w:rPr>
          <w:rFonts w:ascii="Times New Roman" w:hAnsi="Times New Roman" w:cs="Times New Roman"/>
          <w:sz w:val="20"/>
          <w:szCs w:val="20"/>
        </w:rPr>
        <w:t>There are no differences between genders. However, with only 3 males the sample size 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6C39">
        <w:rPr>
          <w:rFonts w:ascii="Times New Roman" w:hAnsi="Times New Roman" w:cs="Times New Roman"/>
          <w:sz w:val="20"/>
          <w:szCs w:val="20"/>
        </w:rPr>
        <w:t>too small for this group to see any significant differences.</w:t>
      </w:r>
    </w:p>
    <w:p w:rsidR="00906C39" w:rsidRPr="00906C39" w:rsidRDefault="00906C39" w:rsidP="00906C39">
      <w:pPr>
        <w:rPr>
          <w:rFonts w:ascii="Times New Roman" w:hAnsi="Times New Roman" w:cs="Times New Roman"/>
          <w:sz w:val="20"/>
          <w:szCs w:val="20"/>
        </w:rPr>
      </w:pPr>
      <w:r w:rsidRPr="00906C39">
        <w:rPr>
          <w:rFonts w:ascii="Times New Roman" w:hAnsi="Times New Roman" w:cs="Times New Roman"/>
          <w:sz w:val="20"/>
          <w:szCs w:val="20"/>
        </w:rPr>
        <w:t>Mann-Whitney U test results below (non-parametric test equivalent to the t-test when there are small samples) also shows the p-value is also not significant under this non-parametric test.</w:t>
      </w:r>
    </w:p>
    <w:p w:rsidR="000A3D78" w:rsidRDefault="00906C39" w:rsidP="00906C39">
      <w:pPr>
        <w:rPr>
          <w:rFonts w:ascii="Times New Roman" w:hAnsi="Times New Roman" w:cs="Times New Roman"/>
          <w:sz w:val="20"/>
          <w:szCs w:val="20"/>
        </w:rPr>
      </w:pPr>
      <w:r w:rsidRPr="00906C39">
        <w:rPr>
          <w:rFonts w:ascii="Times New Roman" w:hAnsi="Times New Roman" w:cs="Times New Roman"/>
          <w:noProof/>
          <w:sz w:val="20"/>
          <w:szCs w:val="20"/>
          <w:lang w:bidi="te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90718" cy="1260987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35" t="7857" r="5783" b="3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718" cy="126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D78" w:rsidRPr="000A3D78" w:rsidRDefault="000A3D78" w:rsidP="000A3D78">
      <w:pPr>
        <w:rPr>
          <w:rFonts w:ascii="Times New Roman" w:hAnsi="Times New Roman" w:cs="Times New Roman"/>
          <w:sz w:val="20"/>
          <w:szCs w:val="20"/>
        </w:rPr>
      </w:pPr>
    </w:p>
    <w:p w:rsidR="000A3D78" w:rsidRPr="000A3D78" w:rsidRDefault="000A3D78" w:rsidP="000A3D78">
      <w:pPr>
        <w:rPr>
          <w:rFonts w:ascii="Times New Roman" w:hAnsi="Times New Roman" w:cs="Times New Roman"/>
          <w:sz w:val="20"/>
          <w:szCs w:val="20"/>
        </w:rPr>
      </w:pPr>
    </w:p>
    <w:p w:rsidR="000A3D78" w:rsidRDefault="000A3D78" w:rsidP="00906C39">
      <w:pPr>
        <w:rPr>
          <w:rFonts w:ascii="Times New Roman" w:hAnsi="Times New Roman" w:cs="Times New Roman"/>
          <w:sz w:val="20"/>
          <w:szCs w:val="20"/>
        </w:rPr>
      </w:pPr>
    </w:p>
    <w:p w:rsidR="000A3D78" w:rsidRDefault="000A3D78" w:rsidP="00906C39">
      <w:pPr>
        <w:rPr>
          <w:rFonts w:ascii="Times New Roman" w:hAnsi="Times New Roman" w:cs="Times New Roman"/>
          <w:sz w:val="20"/>
          <w:szCs w:val="20"/>
        </w:rPr>
      </w:pPr>
    </w:p>
    <w:p w:rsidR="000A3D78" w:rsidRPr="000A3D78" w:rsidRDefault="000A3D78" w:rsidP="000A3D78">
      <w:pPr>
        <w:rPr>
          <w:rFonts w:ascii="Times New Roman" w:hAnsi="Times New Roman" w:cs="Times New Roman"/>
          <w:sz w:val="20"/>
          <w:szCs w:val="20"/>
        </w:rPr>
      </w:pPr>
      <w:r w:rsidRPr="000A3D78">
        <w:rPr>
          <w:rFonts w:ascii="Times New Roman" w:hAnsi="Times New Roman" w:cs="Times New Roman"/>
          <w:sz w:val="20"/>
          <w:szCs w:val="20"/>
        </w:rPr>
        <w:t>Asymptotic</w:t>
      </w:r>
      <w:r>
        <w:rPr>
          <w:rFonts w:ascii="Times New Roman" w:hAnsi="Times New Roman" w:cs="Times New Roman"/>
          <w:sz w:val="20"/>
          <w:szCs w:val="20"/>
        </w:rPr>
        <w:t xml:space="preserve"> significances are displayed. T</w:t>
      </w:r>
      <w:r w:rsidRPr="000A3D78">
        <w:rPr>
          <w:rFonts w:ascii="Times New Roman" w:hAnsi="Times New Roman" w:cs="Times New Roman"/>
          <w:sz w:val="20"/>
          <w:szCs w:val="20"/>
        </w:rPr>
        <w:t>he significance level is .0.5</w:t>
      </w:r>
    </w:p>
    <w:p w:rsidR="000A3D78" w:rsidRPr="000A3D78" w:rsidRDefault="000A3D78" w:rsidP="000A3D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0A3D78">
        <w:rPr>
          <w:rFonts w:ascii="Times New Roman" w:hAnsi="Times New Roman" w:cs="Times New Roman"/>
          <w:sz w:val="20"/>
          <w:szCs w:val="20"/>
        </w:rPr>
        <w:t>Exact significance is displayed for this test.</w:t>
      </w:r>
    </w:p>
    <w:p w:rsidR="000A3D78" w:rsidRPr="000A3D78" w:rsidRDefault="000A3D78" w:rsidP="000A3D78">
      <w:pPr>
        <w:jc w:val="both"/>
        <w:rPr>
          <w:rFonts w:ascii="Times New Roman" w:hAnsi="Times New Roman" w:cs="Times New Roman"/>
          <w:sz w:val="20"/>
          <w:szCs w:val="20"/>
        </w:rPr>
      </w:pPr>
      <w:r w:rsidRPr="000A3D78">
        <w:rPr>
          <w:rFonts w:ascii="Times New Roman" w:hAnsi="Times New Roman" w:cs="Times New Roman"/>
          <w:sz w:val="20"/>
          <w:szCs w:val="20"/>
        </w:rPr>
        <w:t>2. Students of a particular age group perform better in the clinical questions.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D78">
        <w:rPr>
          <w:rFonts w:ascii="Times New Roman" w:hAnsi="Times New Roman" w:cs="Times New Roman"/>
          <w:sz w:val="20"/>
          <w:szCs w:val="20"/>
        </w:rPr>
        <w:t>There is only one age group for the entire survey population (20-25) therefore cannot reliably assess this question.</w:t>
      </w:r>
    </w:p>
    <w:p w:rsidR="000A3D78" w:rsidRDefault="000A3D78" w:rsidP="000A3D78">
      <w:pPr>
        <w:rPr>
          <w:rFonts w:ascii="Times New Roman" w:hAnsi="Times New Roman" w:cs="Times New Roman"/>
          <w:sz w:val="20"/>
          <w:szCs w:val="20"/>
        </w:rPr>
      </w:pPr>
      <w:r w:rsidRPr="000A3D78">
        <w:rPr>
          <w:rFonts w:ascii="Times New Roman" w:hAnsi="Times New Roman" w:cs="Times New Roman"/>
          <w:sz w:val="20"/>
          <w:szCs w:val="20"/>
        </w:rPr>
        <w:t>3. Students with experience with older adults care perform better in the clinical questions.</w:t>
      </w:r>
    </w:p>
    <w:p w:rsidR="007B287E" w:rsidRDefault="007B287E" w:rsidP="000A3D78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B287E" w:rsidRDefault="007B287E" w:rsidP="000A3D78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B287E" w:rsidRDefault="007B287E" w:rsidP="000A3D78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3D78" w:rsidRPr="00053C5C" w:rsidRDefault="000A3D78" w:rsidP="000A3D78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53C5C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Group Statistics</w:t>
      </w:r>
    </w:p>
    <w:p w:rsidR="000A3D78" w:rsidRDefault="000A3D78" w:rsidP="000A3D7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6"/>
        <w:gridCol w:w="1780"/>
        <w:gridCol w:w="286"/>
        <w:gridCol w:w="481"/>
        <w:gridCol w:w="1002"/>
        <w:gridCol w:w="1119"/>
      </w:tblGrid>
      <w:tr w:rsidR="000A3D78" w:rsidRPr="000A3D78" w:rsidTr="007B287E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Previous Older Adult Work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Std. Deviation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Std. Error Mean</w:t>
            </w:r>
          </w:p>
        </w:tc>
      </w:tr>
      <w:tr w:rsidR="000A3D78" w:rsidRPr="000A3D78" w:rsidTr="007B287E">
        <w:trPr>
          <w:cantSplit/>
          <w:trHeight w:val="2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Total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4.37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1.326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.242</w:t>
            </w:r>
          </w:p>
        </w:tc>
      </w:tr>
      <w:tr w:rsidR="000A3D78" w:rsidRPr="000A3D78" w:rsidTr="007B287E">
        <w:trPr>
          <w:cantSplit/>
          <w:trHeight w:val="2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4.48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1.369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3D78" w:rsidRPr="000A3D78" w:rsidRDefault="000A3D78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3D78">
              <w:rPr>
                <w:rFonts w:ascii="Arial" w:hAnsi="Arial" w:cs="Arial"/>
                <w:color w:val="000000"/>
                <w:sz w:val="14"/>
                <w:szCs w:val="14"/>
              </w:rPr>
              <w:t>.263</w:t>
            </w:r>
          </w:p>
        </w:tc>
      </w:tr>
    </w:tbl>
    <w:p w:rsidR="000A3D78" w:rsidRPr="000A3D78" w:rsidRDefault="000A3D78" w:rsidP="000A3D7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15"/>
        <w:gridCol w:w="1378"/>
        <w:gridCol w:w="847"/>
        <w:gridCol w:w="847"/>
        <w:gridCol w:w="427"/>
        <w:gridCol w:w="559"/>
        <w:gridCol w:w="741"/>
        <w:gridCol w:w="967"/>
        <w:gridCol w:w="1093"/>
        <w:gridCol w:w="943"/>
        <w:gridCol w:w="943"/>
      </w:tblGrid>
      <w:tr w:rsidR="00053C5C" w:rsidRPr="00053C5C" w:rsidTr="007B287E">
        <w:trPr>
          <w:cantSplit/>
          <w:trHeight w:val="2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hanging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3C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Independent Samples Test</w:t>
            </w:r>
          </w:p>
        </w:tc>
      </w:tr>
      <w:tr w:rsidR="00053C5C" w:rsidRPr="00053C5C" w:rsidTr="007B287E">
        <w:trPr>
          <w:cantSplit/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Levene's</w:t>
            </w:r>
            <w:proofErr w:type="spellEnd"/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 xml:space="preserve"> Test for Equality of Variances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t-test for Equality of Means</w:t>
            </w:r>
          </w:p>
        </w:tc>
      </w:tr>
      <w:tr w:rsidR="00053C5C" w:rsidRPr="00053C5C" w:rsidTr="007B287E">
        <w:trPr>
          <w:cantSplit/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Sig.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df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Sig. (2-tailed)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Mean Difference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Std. Error Difference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95% Confidence Interval of the Difference</w:t>
            </w:r>
          </w:p>
        </w:tc>
      </w:tr>
      <w:tr w:rsidR="00053C5C" w:rsidRPr="00053C5C" w:rsidTr="007B287E">
        <w:trPr>
          <w:cantSplit/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Lower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Upper</w:t>
            </w:r>
          </w:p>
        </w:tc>
      </w:tr>
      <w:tr w:rsidR="00053C5C" w:rsidRPr="00053C5C" w:rsidTr="007B287E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7B287E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Total Score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Equal variances assumed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.053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.819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-.321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.749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-.115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.357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-.831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.601</w:t>
            </w:r>
          </w:p>
        </w:tc>
      </w:tr>
      <w:tr w:rsidR="00053C5C" w:rsidRPr="00053C5C" w:rsidTr="007B287E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Equal  variances not assumed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-.321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53.950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.750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-.115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.358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-.832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.603</w:t>
            </w:r>
          </w:p>
        </w:tc>
      </w:tr>
    </w:tbl>
    <w:p w:rsidR="00053C5C" w:rsidRPr="00053C5C" w:rsidRDefault="00053C5C" w:rsidP="00053C5C">
      <w:pPr>
        <w:jc w:val="both"/>
        <w:rPr>
          <w:rFonts w:ascii="Times New Roman" w:hAnsi="Times New Roman" w:cs="Times New Roman"/>
          <w:sz w:val="20"/>
          <w:szCs w:val="20"/>
        </w:rPr>
      </w:pPr>
      <w:r w:rsidRPr="00053C5C">
        <w:rPr>
          <w:rFonts w:ascii="Times New Roman" w:hAnsi="Times New Roman" w:cs="Times New Roman"/>
          <w:sz w:val="20"/>
          <w:szCs w:val="20"/>
        </w:rPr>
        <w:t>P-values are larger than 0.05, showing no significant differences in the total score (performance on clinical test) between those having and not having previous experience working with older adults.</w:t>
      </w:r>
    </w:p>
    <w:p w:rsidR="00053C5C" w:rsidRDefault="00053C5C" w:rsidP="00053C5C">
      <w:pPr>
        <w:rPr>
          <w:rFonts w:ascii="Times New Roman" w:hAnsi="Times New Roman" w:cs="Times New Roman"/>
          <w:sz w:val="20"/>
          <w:szCs w:val="20"/>
        </w:rPr>
      </w:pPr>
      <w:r w:rsidRPr="00053C5C">
        <w:rPr>
          <w:rFonts w:ascii="Times New Roman" w:hAnsi="Times New Roman" w:cs="Times New Roman"/>
          <w:sz w:val="20"/>
          <w:szCs w:val="20"/>
        </w:rPr>
        <w:t>4. Students with experience in STD screening or patient education perform better in the clinical questions.</w:t>
      </w:r>
    </w:p>
    <w:p w:rsidR="008B1BEF" w:rsidRPr="007B287E" w:rsidRDefault="008B1BEF" w:rsidP="00053C5C">
      <w:pPr>
        <w:rPr>
          <w:rFonts w:ascii="Times New Roman" w:hAnsi="Times New Roman" w:cs="Times New Roman"/>
          <w:b/>
          <w:sz w:val="20"/>
          <w:szCs w:val="20"/>
        </w:rPr>
      </w:pPr>
      <w:r w:rsidRPr="007B28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Group Statistics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6"/>
        <w:gridCol w:w="900"/>
        <w:gridCol w:w="286"/>
        <w:gridCol w:w="481"/>
        <w:gridCol w:w="1002"/>
        <w:gridCol w:w="1119"/>
      </w:tblGrid>
      <w:tr w:rsidR="00053C5C" w:rsidRPr="00053C5C" w:rsidTr="007B287E">
        <w:trPr>
          <w:cantSplit/>
          <w:jc w:val="center"/>
        </w:trPr>
        <w:tc>
          <w:tcPr>
            <w:tcW w:w="0" w:type="auto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PrevSTDWk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Std. Deviation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Std. Error Mean</w:t>
            </w:r>
          </w:p>
        </w:tc>
      </w:tr>
      <w:tr w:rsidR="008B1BEF" w:rsidRPr="00053C5C" w:rsidTr="007B287E">
        <w:trPr>
          <w:cantSplit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053C5C" w:rsidRPr="00053C5C" w:rsidRDefault="007B287E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Total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4.44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1.305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.181</w:t>
            </w:r>
          </w:p>
        </w:tc>
      </w:tr>
      <w:tr w:rsidR="008B1BEF" w:rsidRPr="00053C5C" w:rsidTr="007B287E">
        <w:trPr>
          <w:cantSplit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4.20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1.789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3C5C" w:rsidRPr="00053C5C" w:rsidRDefault="00053C5C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3C5C">
              <w:rPr>
                <w:rFonts w:ascii="Arial" w:hAnsi="Arial" w:cs="Arial"/>
                <w:color w:val="000000"/>
                <w:sz w:val="14"/>
                <w:szCs w:val="14"/>
              </w:rPr>
              <w:t>.800</w:t>
            </w:r>
          </w:p>
        </w:tc>
      </w:tr>
    </w:tbl>
    <w:p w:rsidR="00D3735B" w:rsidRDefault="00D3735B" w:rsidP="00D76C2F"/>
    <w:p w:rsidR="008B1BEF" w:rsidRDefault="008B1BEF" w:rsidP="00D76C2F"/>
    <w:p w:rsidR="008B1BEF" w:rsidRDefault="008B1BEF" w:rsidP="00D76C2F"/>
    <w:p w:rsidR="008B1BEF" w:rsidRDefault="008B1BEF" w:rsidP="00D76C2F"/>
    <w:p w:rsidR="008B1BEF" w:rsidRDefault="008B1BEF" w:rsidP="00D76C2F"/>
    <w:p w:rsidR="007B287E" w:rsidRDefault="007B287E" w:rsidP="00D76C2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5"/>
        <w:gridCol w:w="1341"/>
        <w:gridCol w:w="985"/>
        <w:gridCol w:w="830"/>
        <w:gridCol w:w="375"/>
        <w:gridCol w:w="445"/>
        <w:gridCol w:w="750"/>
        <w:gridCol w:w="950"/>
        <w:gridCol w:w="1095"/>
        <w:gridCol w:w="988"/>
        <w:gridCol w:w="956"/>
      </w:tblGrid>
      <w:tr w:rsidR="008B1BEF" w:rsidRPr="008B1BEF" w:rsidTr="007B287E">
        <w:trPr>
          <w:cantSplit/>
          <w:trHeight w:val="20"/>
          <w:jc w:val="center"/>
        </w:trPr>
        <w:tc>
          <w:tcPr>
            <w:tcW w:w="0" w:type="auto"/>
            <w:gridSpan w:val="11"/>
            <w:shd w:val="clear" w:color="auto" w:fill="FFFFFF"/>
            <w:vAlign w:val="center"/>
          </w:tcPr>
          <w:p w:rsidR="008B1BEF" w:rsidRPr="008B1BEF" w:rsidRDefault="007B287E" w:rsidP="007B2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4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Independent Samples Test</w:t>
            </w:r>
          </w:p>
        </w:tc>
      </w:tr>
      <w:tr w:rsidR="008B1BEF" w:rsidRPr="008B1BEF" w:rsidTr="007B287E">
        <w:trPr>
          <w:cantSplit/>
          <w:trHeight w:val="20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8B1BEF" w:rsidRPr="008B1BEF" w:rsidRDefault="007B287E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06C39">
              <w:rPr>
                <w:rFonts w:ascii="Arial" w:hAnsi="Arial" w:cs="Arial"/>
                <w:color w:val="000000"/>
                <w:sz w:val="14"/>
                <w:szCs w:val="14"/>
              </w:rPr>
              <w:t>Levene's</w:t>
            </w:r>
            <w:proofErr w:type="spellEnd"/>
            <w:r w:rsidR="008B1BEF"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Test for Equality of Variances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t-test for Equality of Means</w:t>
            </w:r>
          </w:p>
        </w:tc>
      </w:tr>
      <w:tr w:rsidR="008B1BEF" w:rsidRPr="008B1BEF" w:rsidTr="007B287E">
        <w:trPr>
          <w:cantSplit/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Sig.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df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Sig. (2-tailed)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Mean Difference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Std. Error Difference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95% Confidence Interval of the Difference</w:t>
            </w:r>
          </w:p>
        </w:tc>
      </w:tr>
      <w:tr w:rsidR="008B1BEF" w:rsidRPr="008B1BEF" w:rsidTr="007B287E">
        <w:trPr>
          <w:cantSplit/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Lower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Upper</w:t>
            </w:r>
          </w:p>
        </w:tc>
      </w:tr>
      <w:tr w:rsidR="008B1BEF" w:rsidRPr="008B1BEF" w:rsidTr="007B287E">
        <w:trPr>
          <w:cantSplit/>
          <w:trHeight w:val="2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B1BEF" w:rsidRPr="008B1BEF" w:rsidRDefault="007B287E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Total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Equal variances assumed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.287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.385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.702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.242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.630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-1.021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1.505</w:t>
            </w:r>
          </w:p>
        </w:tc>
      </w:tr>
      <w:tr w:rsidR="008B1BEF" w:rsidRPr="008B1BEF" w:rsidTr="007B287E">
        <w:trPr>
          <w:cantSplit/>
          <w:trHeight w:val="2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Equal variances not assumed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.295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4.419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.781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.242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.820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-1.952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1BEF" w:rsidRPr="008B1BEF" w:rsidRDefault="008B1BEF" w:rsidP="007B287E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1B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2.437</w:t>
            </w:r>
          </w:p>
        </w:tc>
      </w:tr>
    </w:tbl>
    <w:p w:rsidR="003348FF" w:rsidRPr="003348FF" w:rsidRDefault="003348FF" w:rsidP="003348FF">
      <w:pPr>
        <w:rPr>
          <w:rFonts w:ascii="Times New Roman" w:hAnsi="Times New Roman" w:cs="Times New Roman"/>
          <w:sz w:val="20"/>
          <w:szCs w:val="20"/>
        </w:rPr>
      </w:pPr>
      <w:r w:rsidRPr="003348FF">
        <w:rPr>
          <w:rFonts w:ascii="Times New Roman" w:hAnsi="Times New Roman" w:cs="Times New Roman"/>
          <w:sz w:val="20"/>
          <w:szCs w:val="20"/>
        </w:rPr>
        <w:t>There are not significant differences in the performance on clinical test between students with previous experience in STD screening and those with no previous experience. Also, note that only 5 students had previous experience so this is a very small group.</w:t>
      </w:r>
    </w:p>
    <w:p w:rsidR="003348FF" w:rsidRPr="003348FF" w:rsidRDefault="003348FF" w:rsidP="003348FF">
      <w:pPr>
        <w:rPr>
          <w:rFonts w:ascii="Times New Roman" w:hAnsi="Times New Roman" w:cs="Times New Roman"/>
          <w:sz w:val="20"/>
          <w:szCs w:val="20"/>
        </w:rPr>
      </w:pPr>
      <w:r w:rsidRPr="003348FF">
        <w:rPr>
          <w:rFonts w:ascii="Times New Roman" w:hAnsi="Times New Roman" w:cs="Times New Roman"/>
          <w:sz w:val="20"/>
          <w:szCs w:val="20"/>
        </w:rPr>
        <w:t>The p-value from the non-parametric equivalent test, Mann-Whitney U test is also of a similar range (see below)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348FF" w:rsidRDefault="003348FF" w:rsidP="00D76C2F">
      <w:r w:rsidRPr="003348FF">
        <w:rPr>
          <w:noProof/>
          <w:lang w:bidi="te-IN"/>
        </w:rPr>
        <w:drawing>
          <wp:inline distT="0" distB="0" distL="0" distR="0">
            <wp:extent cx="5305118" cy="138920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143" r="2308" b="3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118" cy="138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FF" w:rsidRPr="000A3D78" w:rsidRDefault="003348FF" w:rsidP="003348FF">
      <w:pPr>
        <w:rPr>
          <w:rFonts w:ascii="Times New Roman" w:hAnsi="Times New Roman" w:cs="Times New Roman"/>
          <w:sz w:val="20"/>
          <w:szCs w:val="20"/>
        </w:rPr>
      </w:pPr>
      <w:r w:rsidRPr="000A3D78">
        <w:rPr>
          <w:rFonts w:ascii="Times New Roman" w:hAnsi="Times New Roman" w:cs="Times New Roman"/>
          <w:sz w:val="20"/>
          <w:szCs w:val="20"/>
        </w:rPr>
        <w:t>Asymptotic</w:t>
      </w:r>
      <w:r>
        <w:rPr>
          <w:rFonts w:ascii="Times New Roman" w:hAnsi="Times New Roman" w:cs="Times New Roman"/>
          <w:sz w:val="20"/>
          <w:szCs w:val="20"/>
        </w:rPr>
        <w:t xml:space="preserve"> significances are displayed. T</w:t>
      </w:r>
      <w:r w:rsidRPr="000A3D78">
        <w:rPr>
          <w:rFonts w:ascii="Times New Roman" w:hAnsi="Times New Roman" w:cs="Times New Roman"/>
          <w:sz w:val="20"/>
          <w:szCs w:val="20"/>
        </w:rPr>
        <w:t>he significance level is .0.5</w:t>
      </w:r>
    </w:p>
    <w:p w:rsidR="003348FF" w:rsidRPr="000A3D78" w:rsidRDefault="003348FF" w:rsidP="003348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0A3D78">
        <w:rPr>
          <w:rFonts w:ascii="Times New Roman" w:hAnsi="Times New Roman" w:cs="Times New Roman"/>
          <w:sz w:val="20"/>
          <w:szCs w:val="20"/>
        </w:rPr>
        <w:t>Exact significance is displayed for this test.</w:t>
      </w:r>
    </w:p>
    <w:p w:rsidR="008B1BEF" w:rsidRPr="003348FF" w:rsidRDefault="008B1BEF" w:rsidP="003348FF">
      <w:pPr>
        <w:tabs>
          <w:tab w:val="left" w:pos="1301"/>
        </w:tabs>
      </w:pPr>
    </w:p>
    <w:sectPr w:rsidR="008B1BEF" w:rsidRPr="003348FF" w:rsidSect="00BE5C5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25" w:rsidRDefault="00ED3A25" w:rsidP="00C318FD">
      <w:pPr>
        <w:spacing w:after="0" w:line="240" w:lineRule="auto"/>
      </w:pPr>
      <w:r>
        <w:separator/>
      </w:r>
    </w:p>
  </w:endnote>
  <w:endnote w:type="continuationSeparator" w:id="1">
    <w:p w:rsidR="00ED3A25" w:rsidRDefault="00ED3A25" w:rsidP="00C3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25" w:rsidRDefault="00ED3A25" w:rsidP="00C318FD">
      <w:pPr>
        <w:spacing w:after="0" w:line="240" w:lineRule="auto"/>
      </w:pPr>
      <w:r>
        <w:separator/>
      </w:r>
    </w:p>
  </w:footnote>
  <w:footnote w:type="continuationSeparator" w:id="1">
    <w:p w:rsidR="00ED3A25" w:rsidRDefault="00ED3A25" w:rsidP="00C3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95" w:rsidRPr="00206D95" w:rsidRDefault="00206D95" w:rsidP="00206D95">
    <w:pPr>
      <w:pStyle w:val="Header"/>
      <w:rPr>
        <w:sz w:val="36"/>
      </w:rPr>
    </w:pPr>
    <w:r>
      <w:rPr>
        <w:sz w:val="36"/>
      </w:rPr>
      <w:t>A</w:t>
    </w:r>
    <w:r w:rsidRPr="00206D95">
      <w:rPr>
        <w:sz w:val="36"/>
      </w:rPr>
      <w:t>ppendix</w:t>
    </w:r>
    <w:r>
      <w:rPr>
        <w:sz w:val="36"/>
      </w:rPr>
      <w:t xml:space="preserve"> -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C70"/>
    <w:multiLevelType w:val="hybridMultilevel"/>
    <w:tmpl w:val="DF30B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5318"/>
    <w:multiLevelType w:val="hybridMultilevel"/>
    <w:tmpl w:val="C3A085F4"/>
    <w:lvl w:ilvl="0" w:tplc="222C37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2F0B"/>
    <w:rsid w:val="00053C5C"/>
    <w:rsid w:val="000A3D78"/>
    <w:rsid w:val="0010279A"/>
    <w:rsid w:val="001E21E6"/>
    <w:rsid w:val="00206D95"/>
    <w:rsid w:val="0027186D"/>
    <w:rsid w:val="003348FF"/>
    <w:rsid w:val="003C6469"/>
    <w:rsid w:val="004D7338"/>
    <w:rsid w:val="0059432C"/>
    <w:rsid w:val="00626751"/>
    <w:rsid w:val="00650C1C"/>
    <w:rsid w:val="006C0101"/>
    <w:rsid w:val="006F3BED"/>
    <w:rsid w:val="007B287E"/>
    <w:rsid w:val="008467A3"/>
    <w:rsid w:val="008B1BEF"/>
    <w:rsid w:val="009035A2"/>
    <w:rsid w:val="00906C39"/>
    <w:rsid w:val="00A17222"/>
    <w:rsid w:val="00A320B1"/>
    <w:rsid w:val="00A72F0B"/>
    <w:rsid w:val="00B3712E"/>
    <w:rsid w:val="00BE5968"/>
    <w:rsid w:val="00BE5BE0"/>
    <w:rsid w:val="00BE5C5C"/>
    <w:rsid w:val="00C11B49"/>
    <w:rsid w:val="00C318FD"/>
    <w:rsid w:val="00C33A0B"/>
    <w:rsid w:val="00CF74B2"/>
    <w:rsid w:val="00D3735B"/>
    <w:rsid w:val="00D76C2F"/>
    <w:rsid w:val="00E05FFF"/>
    <w:rsid w:val="00E217E9"/>
    <w:rsid w:val="00E60A7B"/>
    <w:rsid w:val="00ED3A25"/>
    <w:rsid w:val="00EE643E"/>
    <w:rsid w:val="00F2572B"/>
    <w:rsid w:val="00F72BFA"/>
    <w:rsid w:val="00FB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F0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A72F0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31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8FD"/>
  </w:style>
  <w:style w:type="paragraph" w:styleId="Footer">
    <w:name w:val="footer"/>
    <w:basedOn w:val="Normal"/>
    <w:link w:val="FooterChar"/>
    <w:uiPriority w:val="99"/>
    <w:semiHidden/>
    <w:unhideWhenUsed/>
    <w:rsid w:val="00C31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8FD"/>
  </w:style>
  <w:style w:type="paragraph" w:styleId="ListParagraph">
    <w:name w:val="List Paragraph"/>
    <w:basedOn w:val="Normal"/>
    <w:uiPriority w:val="34"/>
    <w:qFormat/>
    <w:rsid w:val="00F72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66DB-BF36-40DB-BD2E-BB4A4CE4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SMJ</cp:lastModifiedBy>
  <cp:revision>28</cp:revision>
  <dcterms:created xsi:type="dcterms:W3CDTF">2015-05-29T04:18:00Z</dcterms:created>
  <dcterms:modified xsi:type="dcterms:W3CDTF">2015-06-08T10:47:00Z</dcterms:modified>
</cp:coreProperties>
</file>