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881" w:rsidRPr="006B7941" w:rsidRDefault="006B7941">
      <w:r w:rsidRPr="006B7941">
        <w:rPr>
          <w:rFonts w:ascii="Times New Roman" w:hAnsi="Times New Roman" w:cs="Times New Roman"/>
          <w:b/>
        </w:rPr>
        <w:t xml:space="preserve">Supplementary </w:t>
      </w:r>
      <w:r>
        <w:rPr>
          <w:rFonts w:ascii="Times New Roman" w:hAnsi="Times New Roman" w:cs="Times New Roman"/>
          <w:b/>
        </w:rPr>
        <w:t>I</w:t>
      </w:r>
      <w:r w:rsidRPr="006B7941">
        <w:rPr>
          <w:rFonts w:ascii="Times New Roman" w:hAnsi="Times New Roman" w:cs="Times New Roman"/>
          <w:b/>
        </w:rPr>
        <w:t>nformation</w:t>
      </w:r>
    </w:p>
    <w:p w:rsidR="006B7941" w:rsidRDefault="006B7941" w:rsidP="00614881">
      <w:pPr>
        <w:shd w:val="clear" w:color="auto" w:fill="FFFFFF"/>
        <w:spacing w:after="0" w:line="360" w:lineRule="auto"/>
        <w:jc w:val="both"/>
        <w:rPr>
          <w:rFonts w:ascii="Times New Roman" w:hAnsi="Times New Roman" w:cs="Times New Roman"/>
          <w:b/>
        </w:rPr>
      </w:pPr>
      <w:r>
        <w:rPr>
          <w:noProof/>
        </w:rPr>
        <w:drawing>
          <wp:inline distT="0" distB="0" distL="0" distR="0">
            <wp:extent cx="5939325" cy="6082748"/>
            <wp:effectExtent l="19050" t="0" r="4275" b="0"/>
            <wp:docPr id="6" name="Picture 3" descr="C:\Users\user\Desktop\Suppli\S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uppli\Sup1.jpg"/>
                    <pic:cNvPicPr>
                      <a:picLocks noChangeAspect="1" noChangeArrowheads="1"/>
                    </pic:cNvPicPr>
                  </pic:nvPicPr>
                  <pic:blipFill>
                    <a:blip r:embed="rId6"/>
                    <a:srcRect/>
                    <a:stretch>
                      <a:fillRect/>
                    </a:stretch>
                  </pic:blipFill>
                  <pic:spPr bwMode="auto">
                    <a:xfrm>
                      <a:off x="0" y="0"/>
                      <a:ext cx="5943600" cy="6087127"/>
                    </a:xfrm>
                    <a:prstGeom prst="rect">
                      <a:avLst/>
                    </a:prstGeom>
                    <a:noFill/>
                    <a:ln w="9525">
                      <a:noFill/>
                      <a:miter lim="800000"/>
                      <a:headEnd/>
                      <a:tailEnd/>
                    </a:ln>
                  </pic:spPr>
                </pic:pic>
              </a:graphicData>
            </a:graphic>
          </wp:inline>
        </w:drawing>
      </w:r>
    </w:p>
    <w:p w:rsidR="00614881" w:rsidRDefault="00614881" w:rsidP="00614881">
      <w:pPr>
        <w:shd w:val="clear" w:color="auto" w:fill="FFFFFF"/>
        <w:spacing w:after="0" w:line="360" w:lineRule="auto"/>
        <w:jc w:val="both"/>
        <w:rPr>
          <w:rFonts w:ascii="Times New Roman" w:hAnsi="Times New Roman" w:cs="Times New Roman"/>
          <w:b/>
          <w:sz w:val="20"/>
          <w:szCs w:val="20"/>
        </w:rPr>
      </w:pPr>
      <w:r w:rsidRPr="007F18CC">
        <w:rPr>
          <w:rFonts w:ascii="Times New Roman" w:hAnsi="Times New Roman" w:cs="Times New Roman"/>
          <w:b/>
        </w:rPr>
        <w:t>Supplementary information 1:</w:t>
      </w:r>
      <w:r w:rsidRPr="009C4C09">
        <w:rPr>
          <w:rFonts w:ascii="Times New Roman" w:hAnsi="Times New Roman" w:cs="Times New Roman"/>
          <w:b/>
          <w:sz w:val="20"/>
          <w:szCs w:val="20"/>
        </w:rPr>
        <w:t xml:space="preserve"> </w:t>
      </w:r>
      <w:r w:rsidRPr="007F18CC">
        <w:rPr>
          <w:rFonts w:ascii="Times New Roman" w:hAnsi="Times New Roman" w:cs="Times New Roman"/>
          <w:i/>
          <w:color w:val="FF0000"/>
          <w:sz w:val="20"/>
          <w:szCs w:val="20"/>
        </w:rPr>
        <w:t>In vitro</w:t>
      </w:r>
      <w:r w:rsidRPr="007F18CC">
        <w:rPr>
          <w:rFonts w:ascii="Times New Roman" w:hAnsi="Times New Roman" w:cs="Times New Roman"/>
          <w:color w:val="FF0000"/>
          <w:sz w:val="20"/>
          <w:szCs w:val="20"/>
        </w:rPr>
        <w:t xml:space="preserve"> </w:t>
      </w:r>
      <w:r w:rsidRPr="009C4C09">
        <w:rPr>
          <w:rFonts w:ascii="Times New Roman" w:hAnsi="Times New Roman" w:cs="Times New Roman"/>
          <w:sz w:val="20"/>
          <w:szCs w:val="20"/>
        </w:rPr>
        <w:t>BLI of HT-29 and HCT 116 bioluminescent cell variants.</w:t>
      </w:r>
    </w:p>
    <w:p w:rsidR="00614881" w:rsidRPr="00614881" w:rsidRDefault="00614881" w:rsidP="00614881">
      <w:pPr>
        <w:shd w:val="clear" w:color="auto" w:fill="FFFFFF"/>
        <w:spacing w:after="0" w:line="360" w:lineRule="auto"/>
        <w:jc w:val="both"/>
        <w:rPr>
          <w:rFonts w:ascii="Times New Roman" w:hAnsi="Times New Roman" w:cs="Times New Roman"/>
          <w:b/>
          <w:sz w:val="20"/>
          <w:szCs w:val="20"/>
        </w:rPr>
      </w:pPr>
      <w:r w:rsidRPr="009C4C09">
        <w:rPr>
          <w:rFonts w:ascii="Times New Roman" w:hAnsi="Times New Roman" w:cs="Times New Roman"/>
          <w:b/>
          <w:sz w:val="20"/>
          <w:szCs w:val="20"/>
        </w:rPr>
        <w:t xml:space="preserve">A) </w:t>
      </w:r>
      <w:r w:rsidRPr="009C4C09">
        <w:rPr>
          <w:rFonts w:ascii="Times New Roman" w:hAnsi="Times New Roman" w:cs="Times New Roman"/>
          <w:sz w:val="20"/>
          <w:szCs w:val="20"/>
        </w:rPr>
        <w:t xml:space="preserve">Representative bioluminescent images of serial two-fold dilutions of HT-29 and HCT 116 variants are shown. </w:t>
      </w:r>
      <w:r w:rsidRPr="009C4C09">
        <w:rPr>
          <w:rFonts w:ascii="Times New Roman" w:hAnsi="Times New Roman" w:cs="Times New Roman"/>
          <w:b/>
          <w:sz w:val="20"/>
          <w:szCs w:val="20"/>
        </w:rPr>
        <w:t xml:space="preserve">B) </w:t>
      </w:r>
      <w:r w:rsidRPr="009C4C09">
        <w:rPr>
          <w:rFonts w:ascii="Times New Roman" w:hAnsi="Times New Roman" w:cs="Times New Roman"/>
          <w:sz w:val="20"/>
          <w:szCs w:val="20"/>
        </w:rPr>
        <w:t xml:space="preserve">Quantification of the bioluminescence intensity (in ph/s) from images acquired 15 min after D-luciferin addition (150 </w:t>
      </w:r>
      <w:r w:rsidRPr="009C4C09">
        <w:rPr>
          <w:rFonts w:ascii="Times New Roman" w:hAnsi="Times New Roman" w:cs="Times New Roman"/>
          <w:sz w:val="20"/>
          <w:szCs w:val="20"/>
        </w:rPr>
        <w:sym w:font="Symbol" w:char="F06D"/>
      </w:r>
      <w:r w:rsidRPr="009C4C09">
        <w:rPr>
          <w:rFonts w:ascii="Times New Roman" w:hAnsi="Times New Roman" w:cs="Times New Roman"/>
          <w:sz w:val="20"/>
          <w:szCs w:val="20"/>
        </w:rPr>
        <w:t>g/mL) with the IVIS</w:t>
      </w:r>
      <w:r w:rsidRPr="009C4C09">
        <w:rPr>
          <w:rFonts w:ascii="Times New Roman" w:hAnsi="Times New Roman" w:cs="Times New Roman"/>
          <w:sz w:val="20"/>
          <w:szCs w:val="20"/>
          <w:vertAlign w:val="superscript"/>
        </w:rPr>
        <w:t xml:space="preserve">® </w:t>
      </w:r>
      <w:r w:rsidRPr="009C4C09">
        <w:rPr>
          <w:rFonts w:ascii="Times New Roman" w:hAnsi="Times New Roman" w:cs="Times New Roman"/>
          <w:sz w:val="20"/>
          <w:szCs w:val="20"/>
        </w:rPr>
        <w:t>Spectrum system, confirmed that there is a linear correlation between BLI light production and tumor cell number. The dashed lines represent the linear regression fits for each corresponding variant. The clones HT-29.Fluc-C4 and HCT 116.Fluc-C9 were the brightest cell clones among all variants tested</w:t>
      </w:r>
      <w:r w:rsidRPr="009C4C09">
        <w:rPr>
          <w:rFonts w:ascii="Times New Roman" w:hAnsi="Times New Roman" w:cs="Times New Roman"/>
          <w:i/>
          <w:iCs/>
          <w:sz w:val="20"/>
          <w:szCs w:val="20"/>
        </w:rPr>
        <w:t>.</w:t>
      </w:r>
    </w:p>
    <w:p w:rsidR="00614881" w:rsidRDefault="00614881" w:rsidP="00614881">
      <w:pPr>
        <w:tabs>
          <w:tab w:val="left" w:pos="2792"/>
        </w:tabs>
      </w:pPr>
      <w:r>
        <w:rPr>
          <w:noProof/>
        </w:rPr>
        <w:lastRenderedPageBreak/>
        <w:drawing>
          <wp:inline distT="0" distB="0" distL="0" distR="0">
            <wp:extent cx="5941761" cy="6957391"/>
            <wp:effectExtent l="19050" t="0" r="1839" b="0"/>
            <wp:docPr id="4" name="Picture 4" descr="C:\Users\user\Desktop\Suppli\Su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Suppli\Sup2.jpg"/>
                    <pic:cNvPicPr>
                      <a:picLocks noChangeAspect="1" noChangeArrowheads="1"/>
                    </pic:cNvPicPr>
                  </pic:nvPicPr>
                  <pic:blipFill>
                    <a:blip r:embed="rId7"/>
                    <a:srcRect/>
                    <a:stretch>
                      <a:fillRect/>
                    </a:stretch>
                  </pic:blipFill>
                  <pic:spPr bwMode="auto">
                    <a:xfrm>
                      <a:off x="0" y="0"/>
                      <a:ext cx="5943600" cy="6959544"/>
                    </a:xfrm>
                    <a:prstGeom prst="rect">
                      <a:avLst/>
                    </a:prstGeom>
                    <a:noFill/>
                    <a:ln w="9525">
                      <a:noFill/>
                      <a:miter lim="800000"/>
                      <a:headEnd/>
                      <a:tailEnd/>
                    </a:ln>
                  </pic:spPr>
                </pic:pic>
              </a:graphicData>
            </a:graphic>
          </wp:inline>
        </w:drawing>
      </w:r>
    </w:p>
    <w:p w:rsidR="00614881" w:rsidRDefault="00614881" w:rsidP="00614881">
      <w:pPr>
        <w:shd w:val="clear" w:color="auto" w:fill="FFFFFF"/>
        <w:spacing w:after="0" w:line="360" w:lineRule="auto"/>
        <w:jc w:val="both"/>
        <w:rPr>
          <w:rFonts w:ascii="Times New Roman" w:hAnsi="Times New Roman" w:cs="Times New Roman"/>
          <w:b/>
          <w:sz w:val="20"/>
          <w:szCs w:val="20"/>
        </w:rPr>
      </w:pPr>
      <w:r w:rsidRPr="007F18CC">
        <w:rPr>
          <w:rFonts w:ascii="Times New Roman" w:hAnsi="Times New Roman" w:cs="Times New Roman"/>
          <w:b/>
        </w:rPr>
        <w:t>Supplementary information 2:</w:t>
      </w:r>
      <w:r w:rsidRPr="009C4C09">
        <w:rPr>
          <w:rFonts w:ascii="Times New Roman" w:hAnsi="Times New Roman" w:cs="Times New Roman"/>
          <w:b/>
          <w:sz w:val="20"/>
          <w:szCs w:val="20"/>
        </w:rPr>
        <w:t xml:space="preserve"> </w:t>
      </w:r>
      <w:r w:rsidRPr="009C4C09">
        <w:rPr>
          <w:rFonts w:ascii="Times New Roman" w:hAnsi="Times New Roman" w:cs="Times New Roman"/>
          <w:sz w:val="20"/>
          <w:szCs w:val="20"/>
        </w:rPr>
        <w:t>Cellular implant efficiency.</w:t>
      </w:r>
    </w:p>
    <w:p w:rsidR="00614881" w:rsidRPr="00614881" w:rsidRDefault="00614881" w:rsidP="00614881">
      <w:pPr>
        <w:shd w:val="clear" w:color="auto" w:fill="FFFFFF"/>
        <w:spacing w:after="0" w:line="360" w:lineRule="auto"/>
        <w:jc w:val="both"/>
        <w:rPr>
          <w:rFonts w:ascii="Times New Roman" w:hAnsi="Times New Roman" w:cs="Times New Roman"/>
          <w:b/>
          <w:sz w:val="20"/>
          <w:szCs w:val="20"/>
        </w:rPr>
      </w:pPr>
      <w:r w:rsidRPr="009C4C09">
        <w:rPr>
          <w:rFonts w:ascii="Times New Roman" w:hAnsi="Times New Roman" w:cs="Times New Roman"/>
          <w:sz w:val="20"/>
          <w:szCs w:val="20"/>
        </w:rPr>
        <w:t>Selected bioluminescent ventral view images from representative successful and unsuccessful injections are shown for the orthotopic intracecum wall (</w:t>
      </w:r>
      <w:r w:rsidRPr="009C4C09">
        <w:rPr>
          <w:rFonts w:ascii="Times New Roman" w:hAnsi="Times New Roman" w:cs="Times New Roman"/>
          <w:b/>
          <w:sz w:val="20"/>
          <w:szCs w:val="20"/>
        </w:rPr>
        <w:t>A)</w:t>
      </w:r>
      <w:r w:rsidRPr="009C4C09">
        <w:rPr>
          <w:rFonts w:ascii="Times New Roman" w:hAnsi="Times New Roman" w:cs="Times New Roman"/>
          <w:sz w:val="20"/>
          <w:szCs w:val="20"/>
        </w:rPr>
        <w:t>, intrasplenic</w:t>
      </w:r>
      <w:r w:rsidRPr="009C4C09">
        <w:rPr>
          <w:rFonts w:ascii="Times New Roman" w:hAnsi="Times New Roman" w:cs="Times New Roman"/>
          <w:b/>
          <w:sz w:val="20"/>
          <w:szCs w:val="20"/>
        </w:rPr>
        <w:t xml:space="preserve"> (B)</w:t>
      </w:r>
      <w:r w:rsidRPr="009C4C09">
        <w:rPr>
          <w:rFonts w:ascii="Times New Roman" w:hAnsi="Times New Roman" w:cs="Times New Roman"/>
          <w:sz w:val="20"/>
          <w:szCs w:val="20"/>
        </w:rPr>
        <w:t xml:space="preserve"> and intracardiac</w:t>
      </w:r>
      <w:r w:rsidRPr="009C4C09">
        <w:rPr>
          <w:rFonts w:ascii="Times New Roman" w:hAnsi="Times New Roman" w:cs="Times New Roman"/>
          <w:b/>
          <w:sz w:val="20"/>
          <w:szCs w:val="20"/>
        </w:rPr>
        <w:t xml:space="preserve"> (C) </w:t>
      </w:r>
      <w:r w:rsidRPr="009C4C09">
        <w:rPr>
          <w:rFonts w:ascii="Times New Roman" w:hAnsi="Times New Roman" w:cs="Times New Roman"/>
          <w:sz w:val="20"/>
          <w:szCs w:val="20"/>
        </w:rPr>
        <w:t xml:space="preserve">mouse models. For the intracecun model, a satisfactory injection into the cecal wall is identified by a localized and unique bioluminescent signal into the abdominal cavity. For the intrasplenic model, a successful injection is detected by a localized bioluminescent </w:t>
      </w:r>
      <w:r w:rsidRPr="009C4C09">
        <w:rPr>
          <w:rFonts w:ascii="Times New Roman" w:hAnsi="Times New Roman" w:cs="Times New Roman"/>
          <w:sz w:val="20"/>
          <w:szCs w:val="20"/>
        </w:rPr>
        <w:lastRenderedPageBreak/>
        <w:t xml:space="preserve">signal in the anatomic position of the liver, and mice with no or very low bioluminescent signal were also excluded. For the intracardiac model, a proper injection into the left ventricle is visualized by an immediate but transient systemic bioluminescent signal over the entire animal. In contrast, an unsuccessful implantation produced a more localized signal generally isolated and sustained over time solely within the thoracic region of the animal. If the cells are injected into the right ventricle, tumor cells pass directly to the lungs through the pulmonary artery, and a clear pulmonary morphology is observed.     </w:t>
      </w:r>
    </w:p>
    <w:p w:rsidR="00614881" w:rsidRDefault="00614881" w:rsidP="00614881">
      <w:pPr>
        <w:tabs>
          <w:tab w:val="left" w:pos="1089"/>
        </w:tabs>
      </w:pPr>
      <w:r>
        <w:rPr>
          <w:noProof/>
        </w:rPr>
        <w:drawing>
          <wp:inline distT="0" distB="0" distL="0" distR="0">
            <wp:extent cx="5939830" cy="5072932"/>
            <wp:effectExtent l="19050" t="0" r="3770" b="0"/>
            <wp:docPr id="5" name="Picture 5" descr="C:\Users\user\Desktop\Suppli\Su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Suppli\Sup3.jpg"/>
                    <pic:cNvPicPr>
                      <a:picLocks noChangeAspect="1" noChangeArrowheads="1"/>
                    </pic:cNvPicPr>
                  </pic:nvPicPr>
                  <pic:blipFill>
                    <a:blip r:embed="rId8"/>
                    <a:srcRect/>
                    <a:stretch>
                      <a:fillRect/>
                    </a:stretch>
                  </pic:blipFill>
                  <pic:spPr bwMode="auto">
                    <a:xfrm>
                      <a:off x="0" y="0"/>
                      <a:ext cx="5943600" cy="5076151"/>
                    </a:xfrm>
                    <a:prstGeom prst="rect">
                      <a:avLst/>
                    </a:prstGeom>
                    <a:noFill/>
                    <a:ln w="9525">
                      <a:noFill/>
                      <a:miter lim="800000"/>
                      <a:headEnd/>
                      <a:tailEnd/>
                    </a:ln>
                  </pic:spPr>
                </pic:pic>
              </a:graphicData>
            </a:graphic>
          </wp:inline>
        </w:drawing>
      </w:r>
    </w:p>
    <w:p w:rsidR="00614881" w:rsidRPr="007F18CC" w:rsidRDefault="00614881" w:rsidP="00614881">
      <w:pPr>
        <w:shd w:val="clear" w:color="auto" w:fill="FFFFFF"/>
        <w:spacing w:after="0" w:line="360" w:lineRule="auto"/>
        <w:jc w:val="both"/>
        <w:rPr>
          <w:rFonts w:ascii="Times New Roman" w:hAnsi="Times New Roman" w:cs="Times New Roman"/>
          <w:sz w:val="20"/>
          <w:szCs w:val="20"/>
        </w:rPr>
      </w:pPr>
      <w:r w:rsidRPr="007F18CC">
        <w:rPr>
          <w:rFonts w:ascii="Times New Roman" w:hAnsi="Times New Roman" w:cs="Times New Roman"/>
          <w:b/>
        </w:rPr>
        <w:t>Supplementary information 3:</w:t>
      </w:r>
      <w:r w:rsidRPr="009C4C09">
        <w:rPr>
          <w:rFonts w:ascii="Times New Roman" w:hAnsi="Times New Roman" w:cs="Times New Roman"/>
          <w:b/>
          <w:sz w:val="20"/>
          <w:szCs w:val="20"/>
        </w:rPr>
        <w:t xml:space="preserve"> </w:t>
      </w:r>
      <w:r w:rsidRPr="007F18CC">
        <w:rPr>
          <w:rFonts w:ascii="Times New Roman" w:hAnsi="Times New Roman" w:cs="Times New Roman"/>
          <w:sz w:val="20"/>
          <w:szCs w:val="20"/>
        </w:rPr>
        <w:t xml:space="preserve">Multiple metastases detected </w:t>
      </w:r>
      <w:r w:rsidRPr="007F18CC">
        <w:rPr>
          <w:rFonts w:ascii="Times New Roman" w:hAnsi="Times New Roman" w:cs="Times New Roman"/>
          <w:i/>
          <w:sz w:val="20"/>
          <w:szCs w:val="20"/>
        </w:rPr>
        <w:t>in vivo</w:t>
      </w:r>
      <w:r w:rsidRPr="007F18CC">
        <w:rPr>
          <w:rFonts w:ascii="Times New Roman" w:hAnsi="Times New Roman" w:cs="Times New Roman"/>
          <w:sz w:val="20"/>
          <w:szCs w:val="20"/>
        </w:rPr>
        <w:t xml:space="preserve"> following intracardiac injection of HT-29 bioluminescent cells. </w:t>
      </w:r>
    </w:p>
    <w:p w:rsidR="00614881" w:rsidRPr="00E26003" w:rsidRDefault="00614881" w:rsidP="00614881">
      <w:pPr>
        <w:shd w:val="clear" w:color="auto" w:fill="FFFFFF"/>
        <w:spacing w:after="0" w:line="360" w:lineRule="auto"/>
        <w:jc w:val="both"/>
        <w:rPr>
          <w:rFonts w:ascii="Times New Roman" w:hAnsi="Times New Roman" w:cs="Times New Roman"/>
          <w:strike/>
          <w:sz w:val="20"/>
          <w:szCs w:val="20"/>
        </w:rPr>
      </w:pPr>
      <w:r w:rsidRPr="009C4C09">
        <w:rPr>
          <w:rFonts w:ascii="Times New Roman" w:hAnsi="Times New Roman" w:cs="Times New Roman"/>
          <w:sz w:val="20"/>
          <w:szCs w:val="20"/>
        </w:rPr>
        <w:t xml:space="preserve">Representative </w:t>
      </w:r>
      <w:r w:rsidRPr="007F18CC">
        <w:rPr>
          <w:rFonts w:ascii="Times New Roman" w:hAnsi="Times New Roman" w:cs="Times New Roman"/>
          <w:i/>
          <w:color w:val="FF0000"/>
          <w:sz w:val="20"/>
          <w:szCs w:val="20"/>
        </w:rPr>
        <w:t>in vivo</w:t>
      </w:r>
      <w:r w:rsidRPr="009C4C09">
        <w:rPr>
          <w:rFonts w:ascii="Times New Roman" w:hAnsi="Times New Roman" w:cs="Times New Roman"/>
          <w:sz w:val="20"/>
          <w:szCs w:val="20"/>
        </w:rPr>
        <w:t xml:space="preserve"> images of ventral and dorsal mouse views taken on day 23</w:t>
      </w:r>
      <w:r w:rsidRPr="009C4C09">
        <w:rPr>
          <w:rFonts w:ascii="Times New Roman" w:hAnsi="Times New Roman" w:cs="Times New Roman"/>
          <w:sz w:val="20"/>
          <w:szCs w:val="20"/>
          <w:vertAlign w:val="superscript"/>
        </w:rPr>
        <w:t>rd</w:t>
      </w:r>
      <w:r w:rsidRPr="009C4C09">
        <w:rPr>
          <w:rFonts w:ascii="Times New Roman" w:hAnsi="Times New Roman" w:cs="Times New Roman"/>
          <w:sz w:val="20"/>
          <w:szCs w:val="20"/>
        </w:rPr>
        <w:t xml:space="preserve"> after cell implantation are shown. Images from each corresponding view were set at the same pseudocolor scale to show relative bioluminescent changes between mice.</w:t>
      </w:r>
      <w:r w:rsidRPr="00E26003">
        <w:rPr>
          <w:rFonts w:ascii="Times New Roman" w:hAnsi="Times New Roman" w:cs="Times New Roman"/>
          <w:sz w:val="20"/>
          <w:szCs w:val="20"/>
        </w:rPr>
        <w:t xml:space="preserve"> </w:t>
      </w:r>
    </w:p>
    <w:p w:rsidR="00614881" w:rsidRPr="00614881" w:rsidRDefault="00614881" w:rsidP="00614881"/>
    <w:sectPr w:rsidR="00614881" w:rsidRPr="00614881" w:rsidSect="00D520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5EC" w:rsidRDefault="005D75EC" w:rsidP="00614881">
      <w:pPr>
        <w:spacing w:after="0" w:line="240" w:lineRule="auto"/>
      </w:pPr>
      <w:r>
        <w:separator/>
      </w:r>
    </w:p>
  </w:endnote>
  <w:endnote w:type="continuationSeparator" w:id="1">
    <w:p w:rsidR="005D75EC" w:rsidRDefault="005D75EC" w:rsidP="006148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5EC" w:rsidRDefault="005D75EC" w:rsidP="00614881">
      <w:pPr>
        <w:spacing w:after="0" w:line="240" w:lineRule="auto"/>
      </w:pPr>
      <w:r>
        <w:separator/>
      </w:r>
    </w:p>
  </w:footnote>
  <w:footnote w:type="continuationSeparator" w:id="1">
    <w:p w:rsidR="005D75EC" w:rsidRDefault="005D75EC" w:rsidP="0061488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14881"/>
    <w:rsid w:val="000E337A"/>
    <w:rsid w:val="0037242F"/>
    <w:rsid w:val="004C38FC"/>
    <w:rsid w:val="005D75EC"/>
    <w:rsid w:val="00614881"/>
    <w:rsid w:val="00620339"/>
    <w:rsid w:val="006B7941"/>
    <w:rsid w:val="007752A8"/>
    <w:rsid w:val="00846582"/>
    <w:rsid w:val="00BA070E"/>
    <w:rsid w:val="00D52013"/>
    <w:rsid w:val="00F13B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0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881"/>
    <w:rPr>
      <w:rFonts w:ascii="Tahoma" w:hAnsi="Tahoma" w:cs="Tahoma"/>
      <w:sz w:val="16"/>
      <w:szCs w:val="16"/>
    </w:rPr>
  </w:style>
  <w:style w:type="paragraph" w:styleId="Header">
    <w:name w:val="header"/>
    <w:basedOn w:val="Normal"/>
    <w:link w:val="HeaderChar"/>
    <w:uiPriority w:val="99"/>
    <w:semiHidden/>
    <w:unhideWhenUsed/>
    <w:rsid w:val="006148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4881"/>
  </w:style>
  <w:style w:type="paragraph" w:styleId="Footer">
    <w:name w:val="footer"/>
    <w:basedOn w:val="Normal"/>
    <w:link w:val="FooterChar"/>
    <w:uiPriority w:val="99"/>
    <w:semiHidden/>
    <w:unhideWhenUsed/>
    <w:rsid w:val="006148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488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2015-06-26T04:36:00Z</dcterms:created>
  <dcterms:modified xsi:type="dcterms:W3CDTF">2015-06-26T04:42:00Z</dcterms:modified>
</cp:coreProperties>
</file>