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E1" w:rsidRDefault="003E0C55">
      <w:pPr>
        <w:pStyle w:val="SupplementaryMaterial"/>
        <w:rPr>
          <w:b w:val="0"/>
        </w:rPr>
      </w:pPr>
      <w:bookmarkStart w:id="0" w:name="_GoBack"/>
      <w:bookmarkEnd w:id="0"/>
      <w:r>
        <w:t>Supplementary Material</w:t>
      </w:r>
    </w:p>
    <w:p w:rsidR="003D5FE1" w:rsidRDefault="003E0C55">
      <w:pPr>
        <w:spacing w:line="48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30"/>
          <w:szCs w:val="28"/>
          <w:lang w:eastAsia="zh-CN"/>
        </w:rPr>
        <w:t>P</w:t>
      </w:r>
      <w:r>
        <w:rPr>
          <w:rFonts w:cs="Times New Roman"/>
          <w:b/>
          <w:bCs/>
          <w:sz w:val="30"/>
          <w:szCs w:val="28"/>
        </w:rPr>
        <w:t>eriodontitis and breast cancer: A bidirectional two-sample Mendelian</w:t>
      </w:r>
      <w:r>
        <w:rPr>
          <w:rFonts w:cs="Times New Roman" w:hint="eastAsia"/>
          <w:b/>
          <w:bCs/>
          <w:sz w:val="30"/>
          <w:szCs w:val="28"/>
        </w:rPr>
        <w:t xml:space="preserve"> </w:t>
      </w:r>
      <w:r>
        <w:rPr>
          <w:rFonts w:cs="Times New Roman"/>
          <w:b/>
          <w:bCs/>
          <w:sz w:val="30"/>
          <w:szCs w:val="28"/>
        </w:rPr>
        <w:t>randomization study</w:t>
      </w:r>
    </w:p>
    <w:p w:rsidR="003D5FE1" w:rsidRDefault="003E0C55">
      <w:pPr>
        <w:spacing w:before="240" w:line="480" w:lineRule="auto"/>
        <w:rPr>
          <w:rFonts w:eastAsia="SimSun" w:cs="Times New Roman"/>
          <w:b/>
        </w:rPr>
      </w:pPr>
      <w:r>
        <w:rPr>
          <w:b/>
          <w:sz w:val="22"/>
        </w:rPr>
        <w:t>Feng</w:t>
      </w:r>
      <w:r>
        <w:rPr>
          <w:rFonts w:hint="eastAsia"/>
          <w:b/>
          <w:sz w:val="22"/>
          <w:lang w:eastAsia="zh-CN"/>
        </w:rPr>
        <w:t xml:space="preserve"> KX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 xml:space="preserve">, </w:t>
      </w:r>
      <w:r>
        <w:rPr>
          <w:rFonts w:hint="eastAsia"/>
          <w:b/>
          <w:sz w:val="22"/>
          <w:lang w:eastAsia="zh-CN"/>
        </w:rPr>
        <w:t>Xing ZY</w:t>
      </w:r>
      <w:r>
        <w:rPr>
          <w:rFonts w:hint="eastAsia"/>
          <w:b/>
          <w:sz w:val="22"/>
          <w:vertAlign w:val="superscript"/>
          <w:lang w:eastAsia="zh-CN"/>
        </w:rPr>
        <w:t>1</w:t>
      </w:r>
      <w:r>
        <w:rPr>
          <w:rFonts w:hint="eastAsia"/>
          <w:b/>
          <w:sz w:val="22"/>
          <w:lang w:eastAsia="zh-CN"/>
        </w:rPr>
        <w:t xml:space="preserve">, </w:t>
      </w:r>
      <w:r>
        <w:rPr>
          <w:b/>
          <w:sz w:val="22"/>
        </w:rPr>
        <w:t>Ren</w:t>
      </w:r>
      <w:r>
        <w:rPr>
          <w:rFonts w:hint="eastAsia"/>
          <w:b/>
          <w:sz w:val="22"/>
          <w:lang w:eastAsia="zh-CN"/>
        </w:rPr>
        <w:t xml:space="preserve"> F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,</w:t>
      </w:r>
      <w:r>
        <w:rPr>
          <w:rFonts w:hint="eastAsia"/>
          <w:b/>
          <w:sz w:val="22"/>
          <w:lang w:eastAsia="zh-CN"/>
        </w:rPr>
        <w:t xml:space="preserve"> </w:t>
      </w:r>
      <w:r>
        <w:rPr>
          <w:b/>
          <w:sz w:val="22"/>
        </w:rPr>
        <w:t>Shang</w:t>
      </w:r>
      <w:r>
        <w:rPr>
          <w:rFonts w:hint="eastAsia"/>
          <w:b/>
          <w:sz w:val="22"/>
          <w:lang w:eastAsia="zh-CN"/>
        </w:rPr>
        <w:t xml:space="preserve"> </w:t>
      </w:r>
      <w:proofErr w:type="gramStart"/>
      <w:r>
        <w:rPr>
          <w:rFonts w:hint="eastAsia"/>
          <w:b/>
          <w:sz w:val="22"/>
          <w:lang w:eastAsia="zh-CN"/>
        </w:rPr>
        <w:t>QY</w:t>
      </w:r>
      <w:r>
        <w:rPr>
          <w:b/>
          <w:sz w:val="22"/>
          <w:vertAlign w:val="superscript"/>
        </w:rPr>
        <w:t>1</w:t>
      </w:r>
      <w:r>
        <w:rPr>
          <w:rFonts w:hint="eastAsia"/>
          <w:b/>
          <w:sz w:val="22"/>
          <w:vertAlign w:val="superscript"/>
          <w:lang w:eastAsia="zh-CN"/>
        </w:rPr>
        <w:t xml:space="preserve"> </w:t>
      </w:r>
      <w:r>
        <w:rPr>
          <w:b/>
          <w:sz w:val="22"/>
        </w:rPr>
        <w:t>,</w:t>
      </w:r>
      <w:proofErr w:type="gramEnd"/>
      <w:r>
        <w:rPr>
          <w:b/>
          <w:sz w:val="22"/>
        </w:rPr>
        <w:t xml:space="preserve"> Wang</w:t>
      </w:r>
      <w:r>
        <w:rPr>
          <w:rFonts w:hint="eastAsia"/>
          <w:b/>
          <w:sz w:val="22"/>
          <w:lang w:eastAsia="zh-CN"/>
        </w:rPr>
        <w:t xml:space="preserve"> X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 xml:space="preserve">*, </w:t>
      </w:r>
      <w:r>
        <w:rPr>
          <w:rFonts w:hint="eastAsia"/>
          <w:b/>
          <w:sz w:val="22"/>
          <w:lang w:eastAsia="zh-CN"/>
        </w:rPr>
        <w:t xml:space="preserve">and </w:t>
      </w:r>
      <w:r>
        <w:rPr>
          <w:b/>
          <w:sz w:val="22"/>
        </w:rPr>
        <w:t>Wang</w:t>
      </w:r>
      <w:r>
        <w:rPr>
          <w:rFonts w:hint="eastAsia"/>
          <w:b/>
          <w:sz w:val="22"/>
          <w:lang w:eastAsia="zh-CN"/>
        </w:rPr>
        <w:t xml:space="preserve"> X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*</w:t>
      </w:r>
    </w:p>
    <w:p w:rsidR="003D5FE1" w:rsidRDefault="003E0C55">
      <w:pPr>
        <w:spacing w:before="240" w:line="480" w:lineRule="auto"/>
        <w:rPr>
          <w:b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Department of Breast Surgical Oncology, National Cancer Center/National </w:t>
      </w:r>
      <w:r>
        <w:rPr>
          <w:sz w:val="20"/>
        </w:rPr>
        <w:t>Clinical Research Center for Cancer/Cancer Hospital, Chinese Academy of Medical Sciences and Peking Union Medical College, Beijing, 100021, China</w:t>
      </w:r>
    </w:p>
    <w:p w:rsidR="003D5FE1" w:rsidRDefault="003E0C55">
      <w:pPr>
        <w:jc w:val="both"/>
        <w:rPr>
          <w:b/>
        </w:rPr>
      </w:pPr>
      <w:r>
        <w:rPr>
          <w:sz w:val="20"/>
        </w:rPr>
        <w:t xml:space="preserve">*Correspondence: </w:t>
      </w:r>
    </w:p>
    <w:p w:rsidR="003D5FE1" w:rsidRDefault="003E0C55">
      <w:pPr>
        <w:spacing w:line="480" w:lineRule="auto"/>
        <w:jc w:val="both"/>
        <w:rPr>
          <w:rStyle w:val="Hyperlink"/>
          <w:rFonts w:eastAsia="SimSun" w:cs="Times New Roman"/>
          <w:color w:val="auto"/>
          <w:sz w:val="20"/>
          <w:u w:val="none"/>
        </w:rPr>
      </w:pPr>
      <w:r>
        <w:rPr>
          <w:rStyle w:val="Hyperlink"/>
          <w:rFonts w:eastAsia="SimSun" w:cs="Times New Roman"/>
          <w:color w:val="auto"/>
          <w:sz w:val="20"/>
          <w:u w:val="none"/>
        </w:rPr>
        <w:t xml:space="preserve">Xin Wang, </w:t>
      </w:r>
      <w:r>
        <w:rPr>
          <w:sz w:val="20"/>
        </w:rPr>
        <w:t xml:space="preserve">Department of Breast Surgical Oncology, National Cancer Center/National Clinical </w:t>
      </w:r>
      <w:r>
        <w:rPr>
          <w:sz w:val="20"/>
        </w:rPr>
        <w:t>Research Center for Cancer/Cancer Hospital, Chinese Academy of Medical Sciences and Peking Union Medical College, Beijing, China</w:t>
      </w:r>
      <w:r>
        <w:rPr>
          <w:rFonts w:hint="eastAsia"/>
          <w:sz w:val="20"/>
          <w:lang w:eastAsia="zh-CN"/>
        </w:rPr>
        <w:t xml:space="preserve">, </w:t>
      </w:r>
      <w:hyperlink r:id="rId13" w:history="1">
        <w:r>
          <w:rPr>
            <w:rStyle w:val="Hyperlink"/>
            <w:rFonts w:eastAsia="SimSun" w:cs="Times New Roman"/>
            <w:color w:val="auto"/>
            <w:sz w:val="20"/>
            <w:u w:val="none"/>
          </w:rPr>
          <w:t>xinwang@vip.126.com</w:t>
        </w:r>
      </w:hyperlink>
    </w:p>
    <w:p w:rsidR="003D5FE1" w:rsidRDefault="003E0C55">
      <w:pPr>
        <w:pStyle w:val="Heading1"/>
      </w:pPr>
      <w:r>
        <w:rPr>
          <w:rStyle w:val="Hyperlink"/>
          <w:rFonts w:eastAsia="SimSun"/>
          <w:b w:val="0"/>
          <w:color w:val="auto"/>
          <w:sz w:val="20"/>
          <w:u w:val="none"/>
        </w:rPr>
        <w:t xml:space="preserve">Xiang Wang, </w:t>
      </w:r>
      <w:r>
        <w:rPr>
          <w:b w:val="0"/>
          <w:sz w:val="20"/>
        </w:rPr>
        <w:t>Department of Breast Surgical Oncology, National Ca</w:t>
      </w:r>
      <w:r>
        <w:rPr>
          <w:b w:val="0"/>
          <w:sz w:val="20"/>
        </w:rPr>
        <w:t>ncer Center/National Clinical Research Center for Cancer/Cancer Hospital, Chinese Academy of Medical Sciences and Peking Union Medical College, Beijing, China</w:t>
      </w:r>
      <w:r>
        <w:rPr>
          <w:rFonts w:hint="eastAsia"/>
          <w:b w:val="0"/>
          <w:sz w:val="20"/>
          <w:lang w:eastAsia="zh-CN"/>
        </w:rPr>
        <w:t xml:space="preserve">, </w:t>
      </w:r>
      <w:hyperlink r:id="rId14" w:history="1">
        <w:r>
          <w:rPr>
            <w:rStyle w:val="Hyperlink"/>
            <w:rFonts w:eastAsia="SimSun"/>
            <w:b w:val="0"/>
            <w:color w:val="auto"/>
            <w:sz w:val="20"/>
            <w:u w:val="none"/>
          </w:rPr>
          <w:t>xiangw@vip.sina.com</w:t>
        </w:r>
      </w:hyperlink>
    </w:p>
    <w:p w:rsidR="003D5FE1" w:rsidRDefault="003E0C55">
      <w:pPr>
        <w:pStyle w:val="Heading1"/>
      </w:pPr>
      <w:r>
        <w:t>Supplementary Tables</w:t>
      </w:r>
    </w:p>
    <w:p w:rsidR="003D5FE1" w:rsidRDefault="003E0C55">
      <w:pPr>
        <w:rPr>
          <w:rFonts w:cs="Times New Roman"/>
        </w:rPr>
      </w:pPr>
      <w:r>
        <w:rPr>
          <w:rFonts w:cs="Times New Roman"/>
        </w:rPr>
        <w:t>Table S1. SN</w:t>
      </w:r>
      <w:r>
        <w:rPr>
          <w:rFonts w:cs="Times New Roman"/>
        </w:rPr>
        <w:t>Ps used as instruments and their association with the exposure and the outcome</w:t>
      </w:r>
    </w:p>
    <w:tbl>
      <w:tblPr>
        <w:tblW w:w="951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106"/>
        <w:gridCol w:w="536"/>
        <w:gridCol w:w="537"/>
        <w:gridCol w:w="745"/>
        <w:gridCol w:w="835"/>
        <w:gridCol w:w="1059"/>
        <w:gridCol w:w="1075"/>
        <w:gridCol w:w="975"/>
        <w:gridCol w:w="925"/>
        <w:gridCol w:w="850"/>
        <w:gridCol w:w="875"/>
      </w:tblGrid>
      <w:tr w:rsidR="003D5FE1">
        <w:trPr>
          <w:trHeight w:val="304"/>
        </w:trPr>
        <w:tc>
          <w:tcPr>
            <w:tcW w:w="11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SNP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</w:rPr>
              <w:t>EA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</w:rPr>
              <w:t>OA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</w:rPr>
              <w:t>R</w:t>
            </w:r>
            <w:r>
              <w:rPr>
                <w:rFonts w:eastAsia="SimSun" w:cs="Times New Roman" w:hint="eastAsia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</w:rPr>
              <w:t>F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exposure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outcome</w:t>
            </w:r>
          </w:p>
        </w:tc>
      </w:tr>
      <w:tr w:rsidR="003D5FE1">
        <w:trPr>
          <w:trHeight w:val="372"/>
        </w:trPr>
        <w:tc>
          <w:tcPr>
            <w:tcW w:w="11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beta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se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pval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beta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se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pval</w:t>
            </w:r>
            <w:proofErr w:type="spellEnd"/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DengXian" w:cs="Times New Roman"/>
                <w:color w:val="000000"/>
                <w:sz w:val="16"/>
                <w:szCs w:val="16"/>
              </w:rPr>
              <w:t>Periodontitis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DengXian" w:cs="Times New Roman"/>
                <w:color w:val="000000"/>
                <w:sz w:val="16"/>
                <w:szCs w:val="16"/>
              </w:rPr>
              <w:t>Breast cancer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rs151226594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0.00050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22.847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-0.3671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0.0768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1.75E-06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-0.1196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0.0817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0.143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rs138868497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0.00050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22.847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1.6387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0.3324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8.20E-07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-0.0717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0.1421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0.6139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rs10143801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0.00053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24.303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-0.084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0.0171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8.66E-07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-0.0257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0.0196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0.1902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rs76734229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0.00053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24.129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-0.1761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1.94E-06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-0.0069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0.0352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0.8434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rs9954920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0.00050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22.651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0.0769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0.0163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2.37E-06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-0.0023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0.8964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rs73155039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0.00049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 xml:space="preserve">22.257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0.8316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0.1757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2.22E-06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-0.0868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0.0969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0.3708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DengXian" w:cs="Times New Roman"/>
                <w:color w:val="000000"/>
                <w:sz w:val="16"/>
                <w:szCs w:val="16"/>
              </w:rPr>
              <w:t>Breast cancer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DengXian" w:cs="Times New Roman"/>
                <w:color w:val="000000"/>
                <w:sz w:val="16"/>
                <w:szCs w:val="16"/>
              </w:rPr>
              <w:t>Periodontitis</w:t>
            </w:r>
          </w:p>
        </w:tc>
      </w:tr>
      <w:tr w:rsidR="003D5FE1">
        <w:trPr>
          <w:trHeight w:val="307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rs6721996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0.00025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62.803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0.499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-0.1371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0.0173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0.1555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0.0751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39474.5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rs487930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49.160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0.5267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0.1227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0.8669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37505.8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rs1910020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0.00023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57.304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0.7179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-0.1461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0.2401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24111.5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rs9371545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0.00027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67.007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0.0712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0.2775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0.0339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0.8545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6023.37</w:t>
            </w:r>
          </w:p>
        </w:tc>
      </w:tr>
      <w:tr w:rsidR="003D5FE1">
        <w:trPr>
          <w:trHeight w:val="316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rs9693995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49.959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0.5572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-0.1244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0.6518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35555.3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rs1078806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0.00068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168.415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0.4077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0.231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0.7996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33143.5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rs78540526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0.00034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83.962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0.0727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0.3033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0.0331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0.010</w:t>
            </w: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5604.35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rs2619415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0.00023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57.467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0.1112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-0.2206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0.0291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0.4216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9422.58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rs3095602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0.00054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134.065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0.2753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0.2281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0.380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23438.6</w:t>
            </w:r>
          </w:p>
        </w:tc>
      </w:tr>
      <w:tr w:rsidR="003D5FE1">
        <w:trPr>
          <w:trHeight w:val="27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rs132289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G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0.00021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eastAsia="zh-CN" w:bidi="ar"/>
              </w:rPr>
              <w:t xml:space="preserve">50.754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0.9819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-0.5564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0.0781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6"/>
                <w:szCs w:val="16"/>
                <w:lang w:bidi="ar"/>
              </w:rPr>
              <w:t>0.0599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0.8616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FE1" w:rsidRDefault="003E0C55">
            <w:pPr>
              <w:jc w:val="center"/>
              <w:textAlignment w:val="center"/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eastAsia="SimSun" w:cs="Times New Roman"/>
                <w:color w:val="000000"/>
                <w:sz w:val="16"/>
                <w:szCs w:val="16"/>
                <w:lang w:bidi="ar"/>
              </w:rPr>
              <w:t>1945.98</w:t>
            </w:r>
          </w:p>
        </w:tc>
      </w:tr>
    </w:tbl>
    <w:p w:rsidR="003D5FE1" w:rsidRDefault="003D5FE1">
      <w:pPr>
        <w:rPr>
          <w:rFonts w:cs="Times New Roman"/>
        </w:rPr>
      </w:pPr>
    </w:p>
    <w:p w:rsidR="003D5FE1" w:rsidRDefault="003D5FE1">
      <w:pPr>
        <w:widowControl w:val="0"/>
        <w:spacing w:before="0" w:after="0"/>
        <w:jc w:val="both"/>
        <w:rPr>
          <w:rFonts w:eastAsia="SimSun" w:cs="Times New Roman"/>
          <w:kern w:val="2"/>
          <w:sz w:val="21"/>
          <w:szCs w:val="24"/>
          <w:lang w:eastAsia="zh-CN" w:bidi="ar"/>
        </w:rPr>
      </w:pPr>
    </w:p>
    <w:p w:rsidR="003D5FE1" w:rsidRDefault="003E0C5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br w:type="page"/>
      </w:r>
    </w:p>
    <w:p w:rsidR="003D5FE1" w:rsidRDefault="003D5FE1">
      <w:pPr>
        <w:pStyle w:val="Heading2"/>
        <w:numPr>
          <w:ilvl w:val="1"/>
          <w:numId w:val="0"/>
        </w:numPr>
        <w:rPr>
          <w:rFonts w:eastAsia="SimSun"/>
          <w:lang w:eastAsia="zh-CN"/>
        </w:rPr>
        <w:sectPr w:rsidR="003D5FE1">
          <w:headerReference w:type="even" r:id="rId15"/>
          <w:footerReference w:type="even" r:id="rId16"/>
          <w:footerReference w:type="default" r:id="rId17"/>
          <w:headerReference w:type="first" r:id="rId18"/>
          <w:pgSz w:w="12240" w:h="15840"/>
          <w:pgMar w:top="1140" w:right="1179" w:bottom="1140" w:left="1281" w:header="720" w:footer="720" w:gutter="0"/>
          <w:cols w:space="720"/>
          <w:titlePg/>
          <w:docGrid w:linePitch="360"/>
        </w:sectPr>
      </w:pPr>
    </w:p>
    <w:p w:rsidR="003D5FE1" w:rsidRDefault="003E0C55">
      <w:pPr>
        <w:tabs>
          <w:tab w:val="left" w:pos="775"/>
        </w:tabs>
        <w:autoSpaceDE w:val="0"/>
        <w:snapToGrid w:val="0"/>
        <w:spacing w:before="0" w:after="0"/>
        <w:textAlignment w:val="bottom"/>
        <w:rPr>
          <w:rFonts w:eastAsia="SimSun"/>
          <w:sz w:val="21"/>
          <w:szCs w:val="21"/>
          <w:lang w:eastAsia="zh-CN"/>
        </w:rPr>
      </w:pPr>
      <w:r>
        <w:rPr>
          <w:rFonts w:eastAsia="SimSun" w:hint="eastAsia"/>
          <w:sz w:val="21"/>
          <w:szCs w:val="21"/>
          <w:lang w:eastAsia="zh-CN"/>
        </w:rPr>
        <w:lastRenderedPageBreak/>
        <w:t>Table S2. Mendelian randomization estimates for the relationship between genetically instrumented periodontitis and breast cancer in the</w:t>
      </w:r>
      <w:r>
        <w:rPr>
          <w:rFonts w:eastAsia="SimSun" w:hint="eastAsia"/>
          <w:sz w:val="21"/>
          <w:szCs w:val="21"/>
          <w:lang w:eastAsia="zh-CN"/>
        </w:rPr>
        <w:t xml:space="preserve"> validation set</w:t>
      </w:r>
    </w:p>
    <w:p w:rsidR="003D5FE1" w:rsidRDefault="003D5FE1">
      <w:pPr>
        <w:tabs>
          <w:tab w:val="left" w:pos="775"/>
        </w:tabs>
        <w:autoSpaceDE w:val="0"/>
        <w:snapToGrid w:val="0"/>
        <w:spacing w:before="0" w:after="0"/>
        <w:textAlignment w:val="bottom"/>
        <w:rPr>
          <w:rFonts w:eastAsia="SimSun"/>
          <w:sz w:val="15"/>
          <w:szCs w:val="15"/>
          <w:lang w:eastAsia="zh-CN"/>
        </w:rPr>
      </w:pPr>
    </w:p>
    <w:tbl>
      <w:tblPr>
        <w:tblStyle w:val="TableGrid"/>
        <w:tblW w:w="4171" w:type="pct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097"/>
        <w:gridCol w:w="1344"/>
        <w:gridCol w:w="856"/>
        <w:gridCol w:w="776"/>
        <w:gridCol w:w="756"/>
        <w:gridCol w:w="1391"/>
        <w:gridCol w:w="662"/>
        <w:gridCol w:w="595"/>
        <w:gridCol w:w="640"/>
        <w:gridCol w:w="834"/>
        <w:gridCol w:w="633"/>
        <w:gridCol w:w="613"/>
      </w:tblGrid>
      <w:tr w:rsidR="003D5FE1">
        <w:trPr>
          <w:trHeight w:val="23"/>
          <w:jc w:val="center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snapToGrid w:val="0"/>
              <w:spacing w:before="0" w:after="0"/>
              <w:ind w:firstLineChars="100" w:firstLine="150"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Outcome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Exposure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Method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ind w:firstLineChars="100" w:firstLine="150"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 value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OR (</w:t>
            </w:r>
            <w:r>
              <w:rPr>
                <w:rFonts w:eastAsia="DengXian"/>
                <w:color w:val="000000"/>
                <w:sz w:val="15"/>
                <w:szCs w:val="15"/>
              </w:rPr>
              <w:t>95% CI)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DengXian"/>
                <w:color w:val="000000"/>
                <w:sz w:val="15"/>
                <w:szCs w:val="15"/>
              </w:rPr>
              <w:t>Cochran's Q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DengXian"/>
                <w:color w:val="000000"/>
                <w:sz w:val="15"/>
                <w:szCs w:val="15"/>
              </w:rPr>
              <w:t>Horizontal pleiotropy</w:t>
            </w:r>
          </w:p>
        </w:tc>
      </w:tr>
      <w:tr w:rsidR="003D5FE1">
        <w:trPr>
          <w:trHeight w:hRule="exact" w:val="793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DengXi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DengXian"/>
                <w:color w:val="000000"/>
                <w:sz w:val="15"/>
                <w:szCs w:val="15"/>
              </w:rPr>
              <w:t>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proofErr w:type="spellStart"/>
            <w:r>
              <w:rPr>
                <w:rFonts w:eastAsia="DengXian"/>
                <w:color w:val="000000"/>
                <w:sz w:val="15"/>
                <w:szCs w:val="15"/>
              </w:rPr>
              <w:t>Q_df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proofErr w:type="spellStart"/>
            <w:r>
              <w:rPr>
                <w:rFonts w:eastAsia="DengXian"/>
                <w:color w:val="000000"/>
                <w:sz w:val="15"/>
                <w:szCs w:val="15"/>
              </w:rPr>
              <w:t>Q_pval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DengXian"/>
                <w:color w:val="000000"/>
                <w:sz w:val="15"/>
                <w:szCs w:val="15"/>
              </w:rPr>
              <w:t>Egger</w:t>
            </w:r>
            <w:r>
              <w:rPr>
                <w:rFonts w:eastAsia="DengXi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  <w:r>
              <w:rPr>
                <w:rFonts w:eastAsia="DengXian"/>
                <w:color w:val="000000"/>
                <w:sz w:val="15"/>
                <w:szCs w:val="15"/>
              </w:rPr>
              <w:t>intercept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SE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ind w:rightChars="-51" w:right="-122"/>
              <w:jc w:val="center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P value</w:t>
            </w:r>
          </w:p>
        </w:tc>
      </w:tr>
      <w:tr w:rsidR="003D5FE1">
        <w:trPr>
          <w:trHeight w:hRule="exact" w:val="525"/>
          <w:jc w:val="center"/>
        </w:trPr>
        <w:tc>
          <w:tcPr>
            <w:tcW w:w="4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rFonts w:eastAsia="SimSun" w:hint="eastAsia"/>
                <w:kern w:val="2"/>
                <w:sz w:val="15"/>
                <w:szCs w:val="15"/>
              </w:rPr>
              <w:t>Periodontitis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rFonts w:eastAsia="SimSun" w:hint="eastAsia"/>
                <w:kern w:val="2"/>
                <w:sz w:val="15"/>
                <w:szCs w:val="15"/>
              </w:rPr>
              <w:t>Breast cancer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MR Egger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-0.001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0.796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0.999(0.994-1.005)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13.423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28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0.991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-0.018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0.0</w:t>
            </w: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15</w:t>
            </w: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0.305 </w:t>
            </w:r>
          </w:p>
        </w:tc>
      </w:tr>
      <w:tr w:rsidR="003D5FE1">
        <w:trPr>
          <w:trHeight w:hRule="exact" w:val="531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sz w:val="13"/>
                <w:szCs w:val="13"/>
              </w:rPr>
              <w:t>IVW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0.947(1.000-1.003)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13.532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29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0.994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</w:tr>
      <w:tr w:rsidR="003D5FE1">
        <w:trPr>
          <w:trHeight w:hRule="exact" w:val="456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Weighted median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-0.001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0.002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0.770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0.999(0.996-1.003)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</w:tr>
      <w:tr w:rsidR="003D5FE1">
        <w:trPr>
          <w:trHeight w:hRule="exact" w:val="468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Simple mode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-0.001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0.774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0.999(0.993-1.005)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</w:tr>
      <w:tr w:rsidR="003D5FE1">
        <w:trPr>
          <w:trHeight w:hRule="exact" w:val="475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Weighted mode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-0.001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0.003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0.781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0.999(0.993-1.005)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</w:p>
        </w:tc>
      </w:tr>
      <w:tr w:rsidR="003D5FE1">
        <w:trPr>
          <w:trHeight w:hRule="exact" w:val="500"/>
          <w:jc w:val="center"/>
        </w:trPr>
        <w:tc>
          <w:tcPr>
            <w:tcW w:w="4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rFonts w:eastAsia="SimSun" w:hint="eastAsia"/>
                <w:kern w:val="2"/>
                <w:sz w:val="15"/>
                <w:szCs w:val="15"/>
              </w:rPr>
              <w:t>Breast cancer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rFonts w:eastAsia="SimSun" w:hint="eastAsia"/>
                <w:kern w:val="2"/>
                <w:sz w:val="15"/>
                <w:szCs w:val="15"/>
              </w:rPr>
              <w:t>Periodontitis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MR Egger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1.753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1.480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0.247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 w:cs="Times New Roman"/>
                <w:color w:val="000000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5.769(0.317-104.875)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18.081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26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0.873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-0.013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0.011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0.270 </w:t>
            </w:r>
          </w:p>
        </w:tc>
      </w:tr>
      <w:tr w:rsidR="003D5FE1">
        <w:trPr>
          <w:trHeight w:hRule="exact" w:val="481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IVW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0.264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0.667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0.693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 w:cs="Times New Roman"/>
                <w:color w:val="000000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1.302(0.352-4.815)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19.352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27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0.857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center"/>
              <w:textAlignment w:val="bottom"/>
              <w:rPr>
                <w:sz w:val="15"/>
                <w:szCs w:val="15"/>
              </w:rPr>
            </w:pPr>
          </w:p>
        </w:tc>
      </w:tr>
      <w:tr w:rsidR="003D5FE1">
        <w:trPr>
          <w:trHeight w:hRule="exact" w:val="487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Weighted median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1.211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0.971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0.204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 w:cs="Times New Roman"/>
                <w:color w:val="000000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3.358(0.519-21.718)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right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right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E1" w:rsidRDefault="003D5FE1">
            <w:pPr>
              <w:jc w:val="right"/>
              <w:textAlignment w:val="bottom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ind w:rightChars="-51" w:right="-122"/>
              <w:jc w:val="center"/>
              <w:rPr>
                <w:sz w:val="15"/>
                <w:szCs w:val="15"/>
              </w:rPr>
            </w:pPr>
          </w:p>
        </w:tc>
      </w:tr>
      <w:tr w:rsidR="003D5FE1">
        <w:trPr>
          <w:trHeight w:hRule="exact" w:val="506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Simple mode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0.594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1.674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0.712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 w:cs="Times New Roman"/>
                <w:color w:val="000000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1.812(0.079-41.325)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textAlignment w:val="center"/>
              <w:rPr>
                <w:rFonts w:eastAsia="DengXian" w:cs="Times New Roman"/>
                <w:color w:val="000000"/>
                <w:kern w:val="2"/>
                <w:sz w:val="8"/>
                <w:szCs w:val="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ind w:rightChars="-51" w:right="-122"/>
              <w:jc w:val="center"/>
              <w:rPr>
                <w:sz w:val="15"/>
                <w:szCs w:val="15"/>
              </w:rPr>
            </w:pPr>
          </w:p>
        </w:tc>
      </w:tr>
      <w:tr w:rsidR="003D5FE1">
        <w:trPr>
          <w:trHeight w:hRule="exact" w:val="497"/>
          <w:jc w:val="center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D5FE1">
            <w:pPr>
              <w:jc w:val="center"/>
              <w:rPr>
                <w:rFonts w:eastAsia="SimSun"/>
                <w:kern w:val="2"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autoSpaceDE w:val="0"/>
              <w:jc w:val="center"/>
              <w:textAlignment w:val="bottom"/>
              <w:rPr>
                <w:rFonts w:eastAsia="SimSun"/>
                <w:kern w:val="2"/>
                <w:sz w:val="15"/>
                <w:szCs w:val="15"/>
              </w:rPr>
            </w:pPr>
            <w:r>
              <w:rPr>
                <w:sz w:val="13"/>
                <w:szCs w:val="13"/>
              </w:rPr>
              <w:t>Weighted mode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1.179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1.087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SimSun" w:cs="Times New Roman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 xml:space="preserve">0.258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E1" w:rsidRDefault="003E0C55">
            <w:pPr>
              <w:jc w:val="center"/>
              <w:textAlignment w:val="bottom"/>
              <w:rPr>
                <w:rFonts w:eastAsia="DengXian" w:cs="Times New Roman"/>
                <w:color w:val="000000"/>
                <w:kern w:val="2"/>
                <w:sz w:val="8"/>
                <w:szCs w:val="8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3.252(0.440-24.008)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rFonts w:eastAsia="DengXian"/>
                <w:color w:val="000000"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FE1" w:rsidRDefault="003D5FE1">
            <w:pPr>
              <w:ind w:rightChars="-51" w:right="-122"/>
              <w:jc w:val="center"/>
              <w:rPr>
                <w:sz w:val="15"/>
                <w:szCs w:val="15"/>
              </w:rPr>
            </w:pPr>
          </w:p>
        </w:tc>
      </w:tr>
    </w:tbl>
    <w:p w:rsidR="003D5FE1" w:rsidRDefault="003E0C55">
      <w:pPr>
        <w:ind w:leftChars="400" w:left="960"/>
      </w:pPr>
      <w:r>
        <w:rPr>
          <w:rFonts w:eastAsia="SimSun" w:hint="eastAsia"/>
          <w:lang w:eastAsia="zh-CN"/>
        </w:rPr>
        <w:t xml:space="preserve">MR, Mendelian randomization; IVW, inverse variance weighted; 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, degree of freedom; MR, Mendelian </w:t>
      </w:r>
      <w:r>
        <w:rPr>
          <w:rFonts w:hint="eastAsia"/>
        </w:rPr>
        <w:t>randomization; Q,</w:t>
      </w:r>
      <w:r>
        <w:rPr>
          <w:rFonts w:eastAsia="SimSun" w:hint="eastAsia"/>
          <w:lang w:eastAsia="zh-CN"/>
        </w:rPr>
        <w:t xml:space="preserve"> </w:t>
      </w:r>
      <w:r>
        <w:rPr>
          <w:rFonts w:hint="eastAsia"/>
        </w:rPr>
        <w:t>heterogeneity statistic Q.</w:t>
      </w:r>
    </w:p>
    <w:p w:rsidR="003D5FE1" w:rsidRDefault="003E0C55">
      <w:pPr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/>
        </w:rPr>
        <w:t xml:space="preserve"> </w:t>
      </w:r>
    </w:p>
    <w:p w:rsidR="003D5FE1" w:rsidRDefault="003D5FE1">
      <w:pPr>
        <w:spacing w:before="240"/>
      </w:pPr>
    </w:p>
    <w:sectPr w:rsidR="003D5FE1">
      <w:pgSz w:w="15840" w:h="12240" w:orient="landscape"/>
      <w:pgMar w:top="1281" w:right="1140" w:bottom="1179" w:left="114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55" w:rsidRDefault="003E0C55">
      <w:pPr>
        <w:spacing w:before="0" w:after="0"/>
      </w:pPr>
      <w:r>
        <w:separator/>
      </w:r>
    </w:p>
  </w:endnote>
  <w:endnote w:type="continuationSeparator" w:id="0">
    <w:p w:rsidR="003E0C55" w:rsidRDefault="003E0C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E1" w:rsidRDefault="003E0C55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5FE1" w:rsidRDefault="003E0C5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D38E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3D5FE1" w:rsidRDefault="003E0C5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D38E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E1" w:rsidRDefault="003E0C55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5FE1" w:rsidRDefault="003E0C5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55" w:rsidRDefault="003E0C55">
      <w:pPr>
        <w:spacing w:before="0" w:after="0"/>
      </w:pPr>
      <w:r>
        <w:separator/>
      </w:r>
    </w:p>
  </w:footnote>
  <w:footnote w:type="continuationSeparator" w:id="0">
    <w:p w:rsidR="003E0C55" w:rsidRDefault="003E0C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E1" w:rsidRDefault="003E0C55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E1" w:rsidRDefault="003E0C55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F1564"/>
    <w:rsid w:val="003544FB"/>
    <w:rsid w:val="003D2F2D"/>
    <w:rsid w:val="003D5FE1"/>
    <w:rsid w:val="003E0C55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7563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D38E7"/>
    <w:rsid w:val="00B1671E"/>
    <w:rsid w:val="00B25EB8"/>
    <w:rsid w:val="00B354E1"/>
    <w:rsid w:val="00B37F4D"/>
    <w:rsid w:val="00B83D92"/>
    <w:rsid w:val="00C52A7B"/>
    <w:rsid w:val="00C56BAF"/>
    <w:rsid w:val="00C679AA"/>
    <w:rsid w:val="00C75972"/>
    <w:rsid w:val="00CC0A3A"/>
    <w:rsid w:val="00CD066B"/>
    <w:rsid w:val="00CE4FEE"/>
    <w:rsid w:val="00DB2184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3262B50"/>
    <w:rsid w:val="078D1C71"/>
    <w:rsid w:val="11F02AC0"/>
    <w:rsid w:val="18B811D0"/>
    <w:rsid w:val="19045FC5"/>
    <w:rsid w:val="1E3253A6"/>
    <w:rsid w:val="24917F17"/>
    <w:rsid w:val="260A37C2"/>
    <w:rsid w:val="2A1D31FE"/>
    <w:rsid w:val="2FD57C53"/>
    <w:rsid w:val="31557F29"/>
    <w:rsid w:val="3B3307F6"/>
    <w:rsid w:val="3F11198E"/>
    <w:rsid w:val="45B53C67"/>
    <w:rsid w:val="5A962B06"/>
    <w:rsid w:val="5CB93600"/>
    <w:rsid w:val="62CA452F"/>
    <w:rsid w:val="6494782B"/>
    <w:rsid w:val="6E77799E"/>
    <w:rsid w:val="783267CC"/>
    <w:rsid w:val="7C3862C0"/>
    <w:rsid w:val="7FC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4AA34-6DB9-418D-BFB1-675E032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9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13">
    <w:name w:val="修订1"/>
    <w:hidden/>
    <w:uiPriority w:val="99"/>
    <w:semiHidden/>
    <w:qFormat/>
    <w:rPr>
      <w:rFonts w:eastAsiaTheme="minorHAnsi" w:cstheme="minorBidi"/>
      <w:sz w:val="24"/>
      <w:szCs w:val="22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xinwang@vip.126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xiangw@vip.sin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4C4197E-B0F0-402A-BDFB-4BED58F7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509</Words>
  <Characters>3142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austin</cp:lastModifiedBy>
  <cp:revision>3</cp:revision>
  <cp:lastPrinted>2013-10-03T12:51:00Z</cp:lastPrinted>
  <dcterms:created xsi:type="dcterms:W3CDTF">2023-08-29T05:00:00Z</dcterms:created>
  <dcterms:modified xsi:type="dcterms:W3CDTF">2023-08-29T05:00:00Z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2052-12.1.0.15120</vt:lpwstr>
  </property>
  <property fmtid="{D5CDD505-2E9C-101B-9397-08002B2CF9AE}" pid="11" name="ICV">
    <vt:lpwstr>C3EB2050FA744F47827FCBC4BFA863A5_13</vt:lpwstr>
  </property>
  <property fmtid="{D5CDD505-2E9C-101B-9397-08002B2CF9AE}" pid="12" name="GrammarlyDocumentId">
    <vt:lpwstr>3025ad998824fab4425a52ef446dba5b76e624840133fdce5d5fd919a02b2b9c</vt:lpwstr>
  </property>
</Properties>
</file>