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F7" w:rsidRPr="00704504" w:rsidRDefault="00F475F7" w:rsidP="00704504">
      <w:pPr>
        <w:spacing w:line="360" w:lineRule="auto"/>
        <w:jc w:val="both"/>
        <w:rPr>
          <w:b/>
          <w:sz w:val="20"/>
        </w:rPr>
      </w:pPr>
      <w:r w:rsidRPr="00704504">
        <w:rPr>
          <w:b/>
          <w:sz w:val="20"/>
        </w:rPr>
        <w:t>Appendix A, Methodology and Estimation Strategy</w:t>
      </w:r>
    </w:p>
    <w:p w:rsidR="00F475F7" w:rsidRPr="00704504" w:rsidRDefault="00F475F7" w:rsidP="00704504">
      <w:pPr>
        <w:spacing w:line="360" w:lineRule="auto"/>
        <w:jc w:val="both"/>
        <w:rPr>
          <w:sz w:val="20"/>
        </w:rPr>
      </w:pPr>
      <w:r w:rsidRPr="00704504">
        <w:rPr>
          <w:sz w:val="20"/>
        </w:rPr>
        <w:t xml:space="preserve">The </w:t>
      </w:r>
      <w:r w:rsidR="00CA335D" w:rsidRPr="00704504">
        <w:rPr>
          <w:sz w:val="20"/>
        </w:rPr>
        <w:t xml:space="preserve">Cumulative Sum </w:t>
      </w:r>
      <w:r w:rsidRPr="00704504">
        <w:rPr>
          <w:sz w:val="20"/>
        </w:rPr>
        <w:t xml:space="preserve">(CUSUM) type index (including CUSUM and CUSQ etc.) is an important tool used to identify the stability of a statistical process. This is achieved by examining the changes in the variance of a univariate time series or the residual obtained from a series of linear regressions of the time-series variable on its regressors with general mixing assumptions (strong correlation between regressors and unobserved error terms) </w:t>
      </w:r>
      <w:r w:rsidR="00C10360" w:rsidRPr="00704504">
        <w:rPr>
          <w:color w:val="FF0000"/>
          <w:sz w:val="20"/>
        </w:rPr>
        <w:t>[19,26-30</w:t>
      </w:r>
      <w:r w:rsidR="00552CA7" w:rsidRPr="00704504">
        <w:rPr>
          <w:color w:val="FF0000"/>
          <w:sz w:val="20"/>
        </w:rPr>
        <w:t>]</w:t>
      </w:r>
      <w:r w:rsidRPr="00704504">
        <w:rPr>
          <w:sz w:val="20"/>
        </w:rPr>
        <w:t xml:space="preserve">. </w:t>
      </w:r>
    </w:p>
    <w:p w:rsidR="00F475F7" w:rsidRPr="00704504" w:rsidRDefault="00F475F7" w:rsidP="00704504">
      <w:pPr>
        <w:spacing w:line="360" w:lineRule="auto"/>
        <w:jc w:val="both"/>
        <w:rPr>
          <w:sz w:val="20"/>
        </w:rPr>
      </w:pPr>
      <w:r w:rsidRPr="00704504">
        <w:rPr>
          <w:sz w:val="20"/>
        </w:rPr>
        <w:t>To see how the index works, we note that any unanticipated upwards or downward (parameter) shifts will result in a uni-directional drift of the cumulative sum of variances or residuals over time. Thus, the CUSUM procedures give an out-of-control signal, when the absolute values of the cumulative sum exceed a critical value, indicating that the variable’s values after a specific time point have been significantly different from their previously expected levels. When a significant out-of-control signal occurs, the starting point of when the process goes out-of-control is determined and the magnitudes of parameter shifts are also estimated. The CUSUM control schemes are designed to optimally detect out-of-control states, and can therefore outperform other statistical techniques in this type of analysis.</w:t>
      </w:r>
    </w:p>
    <w:p w:rsidR="00F475F7" w:rsidRPr="00704504" w:rsidRDefault="00F475F7" w:rsidP="00704504">
      <w:pPr>
        <w:spacing w:line="360" w:lineRule="auto"/>
        <w:jc w:val="both"/>
        <w:rPr>
          <w:b/>
          <w:sz w:val="20"/>
        </w:rPr>
      </w:pPr>
      <w:r w:rsidRPr="00704504">
        <w:rPr>
          <w:b/>
          <w:sz w:val="20"/>
        </w:rPr>
        <w:t>Mathematical Explan</w:t>
      </w:r>
      <w:r w:rsidR="0053050D">
        <w:rPr>
          <w:b/>
          <w:sz w:val="20"/>
        </w:rPr>
        <w:t>ation of the CUSUM Index Using a</w:t>
      </w:r>
      <w:r w:rsidRPr="00704504">
        <w:rPr>
          <w:b/>
          <w:sz w:val="20"/>
        </w:rPr>
        <w:t xml:space="preserve"> Prototype Model</w:t>
      </w:r>
    </w:p>
    <w:p w:rsidR="00F475F7" w:rsidRPr="00704504" w:rsidRDefault="00F475F7" w:rsidP="00704504">
      <w:pPr>
        <w:spacing w:line="360" w:lineRule="auto"/>
        <w:jc w:val="both"/>
        <w:rPr>
          <w:sz w:val="20"/>
        </w:rPr>
      </w:pPr>
      <w:r w:rsidRPr="00704504">
        <w:rPr>
          <w:sz w:val="20"/>
        </w:rPr>
        <w:t>Fol</w:t>
      </w:r>
      <w:r w:rsidR="00623D7B" w:rsidRPr="00704504">
        <w:rPr>
          <w:sz w:val="20"/>
        </w:rPr>
        <w:t xml:space="preserve">lowing Brown, Durbin and Evans </w:t>
      </w:r>
      <w:r w:rsidR="00623D7B" w:rsidRPr="00704504">
        <w:rPr>
          <w:color w:val="FF0000"/>
          <w:sz w:val="20"/>
        </w:rPr>
        <w:t>[2</w:t>
      </w:r>
      <w:r w:rsidR="00C10360" w:rsidRPr="00704504">
        <w:rPr>
          <w:color w:val="FF0000"/>
          <w:sz w:val="20"/>
        </w:rPr>
        <w:t>6</w:t>
      </w:r>
      <w:r w:rsidR="00623D7B" w:rsidRPr="00704504">
        <w:rPr>
          <w:color w:val="FF0000"/>
          <w:sz w:val="20"/>
        </w:rPr>
        <w:t>]</w:t>
      </w:r>
      <w:r w:rsidRPr="00704504">
        <w:rPr>
          <w:sz w:val="20"/>
        </w:rPr>
        <w:t xml:space="preserve">, a prototype model of structural change analysis generating a CUSUM index assumes there is a linear regression with </w:t>
      </w:r>
      <w:r w:rsidRPr="00704504">
        <w:rPr>
          <w:position w:val="-6"/>
          <w:sz w:val="20"/>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4" type="#_x0000_t75" style="width:9.55pt;height:14.3pt" o:ole="">
            <v:imagedata r:id="rId8" o:title=""/>
          </v:shape>
          <o:OLEObject Type="Embed" ProgID="Equation.3" ShapeID="_x0000_i1414" DrawAspect="Content" ObjectID="_1541490885" r:id="rId9"/>
        </w:object>
      </w:r>
      <w:proofErr w:type="spellStart"/>
      <w:r w:rsidRPr="00704504">
        <w:rPr>
          <w:sz w:val="20"/>
        </w:rPr>
        <w:t>regressors</w:t>
      </w:r>
      <w:proofErr w:type="spellEnd"/>
      <w:r w:rsidR="00704504">
        <w:rPr>
          <w:sz w:val="20"/>
        </w:rPr>
        <w:t xml:space="preserve"> </w:t>
      </w:r>
      <w:r w:rsidRPr="00704504">
        <w:rPr>
          <w:position w:val="-12"/>
          <w:sz w:val="20"/>
        </w:rPr>
        <w:object w:dxaOrig="2000" w:dyaOrig="380">
          <v:shape id="_x0000_i1026" type="#_x0000_t75" style="width:100.15pt;height:18.6pt" o:ole="">
            <v:imagedata r:id="rId10" o:title=""/>
          </v:shape>
          <o:OLEObject Type="Embed" ProgID="Equation.3" ShapeID="_x0000_i1026" DrawAspect="Content" ObjectID="_1541490886" r:id="rId11"/>
        </w:object>
      </w:r>
      <w:r w:rsidRPr="00704504">
        <w:rPr>
          <w:sz w:val="20"/>
        </w:rPr>
        <w:t xml:space="preserve"> such that  </w:t>
      </w:r>
    </w:p>
    <w:p w:rsidR="00F475F7" w:rsidRPr="00704504" w:rsidRDefault="00F475F7" w:rsidP="00704504">
      <w:pPr>
        <w:spacing w:line="360" w:lineRule="auto"/>
        <w:jc w:val="both"/>
        <w:rPr>
          <w:sz w:val="20"/>
        </w:rPr>
      </w:pPr>
      <w:r w:rsidRPr="00704504">
        <w:rPr>
          <w:sz w:val="20"/>
        </w:rPr>
        <w:tab/>
      </w:r>
      <w:r w:rsidRPr="00704504">
        <w:rPr>
          <w:sz w:val="20"/>
        </w:rPr>
        <w:tab/>
      </w:r>
    </w:p>
    <w:p w:rsidR="00F475F7" w:rsidRPr="00704504" w:rsidRDefault="00F475F7" w:rsidP="00704504">
      <w:pPr>
        <w:spacing w:line="360" w:lineRule="auto"/>
        <w:jc w:val="both"/>
        <w:rPr>
          <w:sz w:val="20"/>
        </w:rPr>
      </w:pPr>
      <w:r w:rsidRPr="00704504">
        <w:rPr>
          <w:sz w:val="20"/>
        </w:rPr>
        <w:tab/>
      </w:r>
      <w:r w:rsidRPr="00704504">
        <w:rPr>
          <w:sz w:val="20"/>
        </w:rPr>
        <w:tab/>
      </w:r>
      <w:r w:rsidRPr="00704504">
        <w:rPr>
          <w:position w:val="-12"/>
          <w:sz w:val="20"/>
        </w:rPr>
        <w:object w:dxaOrig="1560" w:dyaOrig="360">
          <v:shape id="_x0000_i1027" type="#_x0000_t75" style="width:78.7pt;height:18.1pt" o:ole="">
            <v:imagedata r:id="rId12" o:title=""/>
          </v:shape>
          <o:OLEObject Type="Embed" ProgID="Equation.3" ShapeID="_x0000_i1027" DrawAspect="Content" ObjectID="_1541490887" r:id="rId13"/>
        </w:object>
      </w:r>
      <w:r w:rsidRPr="00704504">
        <w:rPr>
          <w:sz w:val="20"/>
        </w:rPr>
        <w:tab/>
      </w:r>
      <w:r w:rsidRPr="00704504">
        <w:rPr>
          <w:sz w:val="20"/>
        </w:rPr>
        <w:tab/>
      </w:r>
      <w:r w:rsidRPr="00704504">
        <w:rPr>
          <w:sz w:val="20"/>
        </w:rPr>
        <w:tab/>
      </w:r>
      <w:r w:rsidRPr="00704504">
        <w:rPr>
          <w:sz w:val="20"/>
        </w:rPr>
        <w:tab/>
      </w:r>
      <w:r w:rsidRPr="00704504">
        <w:rPr>
          <w:sz w:val="20"/>
        </w:rPr>
        <w:tab/>
        <w:t>(A1)</w:t>
      </w:r>
    </w:p>
    <w:p w:rsidR="00F475F7" w:rsidRPr="00704504" w:rsidRDefault="00704504" w:rsidP="00704504">
      <w:pPr>
        <w:spacing w:line="360" w:lineRule="auto"/>
        <w:jc w:val="both"/>
        <w:rPr>
          <w:sz w:val="20"/>
        </w:rPr>
      </w:pPr>
      <w:r w:rsidRPr="00704504">
        <w:rPr>
          <w:sz w:val="20"/>
        </w:rPr>
        <w:t>W</w:t>
      </w:r>
      <w:r w:rsidR="00F475F7" w:rsidRPr="00704504">
        <w:rPr>
          <w:sz w:val="20"/>
        </w:rPr>
        <w:t>here</w:t>
      </w:r>
      <w:r>
        <w:rPr>
          <w:sz w:val="20"/>
        </w:rPr>
        <w:t xml:space="preserve"> </w:t>
      </w:r>
      <w:r w:rsidR="00F475F7" w:rsidRPr="00704504">
        <w:rPr>
          <w:position w:val="-12"/>
          <w:sz w:val="20"/>
        </w:rPr>
        <w:object w:dxaOrig="260" w:dyaOrig="360">
          <v:shape id="_x0000_i1028" type="#_x0000_t75" style="width:12.4pt;height:18.1pt" o:ole="">
            <v:imagedata r:id="rId14" o:title=""/>
          </v:shape>
          <o:OLEObject Type="Embed" ProgID="Equation.3" ShapeID="_x0000_i1028" DrawAspect="Content" ObjectID="_1541490888" r:id="rId15"/>
        </w:object>
      </w:r>
      <w:r w:rsidR="00F475F7" w:rsidRPr="00704504">
        <w:rPr>
          <w:sz w:val="20"/>
        </w:rPr>
        <w:t xml:space="preserve">is a time-series vector, which can be explained by a group of factors, </w:t>
      </w:r>
      <w:r w:rsidR="00F475F7" w:rsidRPr="00704504">
        <w:rPr>
          <w:position w:val="-12"/>
          <w:sz w:val="20"/>
        </w:rPr>
        <w:object w:dxaOrig="320" w:dyaOrig="360">
          <v:shape id="_x0000_i1029" type="#_x0000_t75" style="width:16.2pt;height:18.1pt" o:ole="">
            <v:imagedata r:id="rId16" o:title=""/>
          </v:shape>
          <o:OLEObject Type="Embed" ProgID="Equation.3" ShapeID="_x0000_i1029" DrawAspect="Content" ObjectID="_1541490889" r:id="rId17"/>
        </w:object>
      </w:r>
      <w:r w:rsidR="00F475F7" w:rsidRPr="00704504">
        <w:rPr>
          <w:sz w:val="20"/>
        </w:rPr>
        <w:t xml:space="preserve"> and</w:t>
      </w:r>
      <w:r w:rsidR="00F475F7" w:rsidRPr="00704504">
        <w:rPr>
          <w:position w:val="-12"/>
          <w:sz w:val="20"/>
        </w:rPr>
        <w:object w:dxaOrig="360" w:dyaOrig="360">
          <v:shape id="_x0000_i1030" type="#_x0000_t75" style="width:18.1pt;height:18.1pt" o:ole="">
            <v:imagedata r:id="rId18" o:title=""/>
          </v:shape>
          <o:OLEObject Type="Embed" ProgID="Equation.3" ShapeID="_x0000_i1030" DrawAspect="Content" ObjectID="_1541490890" r:id="rId19"/>
        </w:object>
      </w:r>
      <w:r w:rsidR="00F475F7" w:rsidRPr="00704504">
        <w:rPr>
          <w:sz w:val="20"/>
        </w:rPr>
        <w:t xml:space="preserve"> is the estimated coefficients of </w:t>
      </w:r>
      <w:r w:rsidR="00F475F7" w:rsidRPr="00704504">
        <w:rPr>
          <w:position w:val="-12"/>
          <w:sz w:val="20"/>
        </w:rPr>
        <w:object w:dxaOrig="460" w:dyaOrig="360">
          <v:shape id="_x0000_i1031" type="#_x0000_t75" style="width:23.35pt;height:18.1pt" o:ole="">
            <v:imagedata r:id="rId20" o:title=""/>
          </v:shape>
          <o:OLEObject Type="Embed" ProgID="Equation.3" ShapeID="_x0000_i1031" DrawAspect="Content" ObjectID="_1541490891" r:id="rId21"/>
        </w:object>
      </w:r>
      <w:r w:rsidR="00F475F7" w:rsidRPr="00704504">
        <w:rPr>
          <w:sz w:val="20"/>
        </w:rPr>
        <w:t xml:space="preserve"> from the OLS regression with the previous </w:t>
      </w:r>
      <w:r w:rsidR="00F475F7" w:rsidRPr="00704504">
        <w:rPr>
          <w:position w:val="-6"/>
          <w:sz w:val="20"/>
        </w:rPr>
        <w:object w:dxaOrig="440" w:dyaOrig="279">
          <v:shape id="_x0000_i1032" type="#_x0000_t75" style="width:21.95pt;height:14.3pt" o:ole="">
            <v:imagedata r:id="rId22" o:title=""/>
          </v:shape>
          <o:OLEObject Type="Embed" ProgID="Equation.3" ShapeID="_x0000_i1032" DrawAspect="Content" ObjectID="_1541490892" r:id="rId23"/>
        </w:object>
      </w:r>
      <w:r w:rsidR="00F475F7" w:rsidRPr="00704504">
        <w:rPr>
          <w:sz w:val="20"/>
        </w:rPr>
        <w:t xml:space="preserve"> </w:t>
      </w:r>
      <w:proofErr w:type="gramStart"/>
      <w:r w:rsidR="00F475F7" w:rsidRPr="00704504">
        <w:rPr>
          <w:sz w:val="20"/>
        </w:rPr>
        <w:t>observations.</w:t>
      </w:r>
      <w:proofErr w:type="gramEnd"/>
      <w:r w:rsidR="00F475F7" w:rsidRPr="00704504">
        <w:rPr>
          <w:sz w:val="20"/>
        </w:rPr>
        <w:t xml:space="preserve"> </w:t>
      </w:r>
    </w:p>
    <w:p w:rsidR="00F475F7" w:rsidRPr="00704504" w:rsidRDefault="00F475F7" w:rsidP="00704504">
      <w:pPr>
        <w:spacing w:line="360" w:lineRule="auto"/>
        <w:jc w:val="both"/>
        <w:rPr>
          <w:sz w:val="20"/>
        </w:rPr>
      </w:pPr>
      <w:r w:rsidRPr="00704504">
        <w:rPr>
          <w:sz w:val="20"/>
        </w:rPr>
        <w:t>If the total number of observations is</w:t>
      </w:r>
      <w:r w:rsidRPr="00704504">
        <w:rPr>
          <w:position w:val="-4"/>
          <w:sz w:val="20"/>
        </w:rPr>
        <w:object w:dxaOrig="220" w:dyaOrig="260">
          <v:shape id="_x0000_i1033" type="#_x0000_t75" style="width:11.45pt;height:12.4pt" o:ole="">
            <v:imagedata r:id="rId24" o:title=""/>
          </v:shape>
          <o:OLEObject Type="Embed" ProgID="Equation.3" ShapeID="_x0000_i1033" DrawAspect="Content" ObjectID="_1541490893" r:id="rId25"/>
        </w:object>
      </w:r>
      <w:r w:rsidRPr="00704504">
        <w:rPr>
          <w:sz w:val="20"/>
        </w:rPr>
        <w:t xml:space="preserve">, the recursive residual </w:t>
      </w:r>
      <w:r w:rsidRPr="00704504">
        <w:rPr>
          <w:position w:val="-12"/>
          <w:sz w:val="20"/>
        </w:rPr>
        <w:object w:dxaOrig="220" w:dyaOrig="360">
          <v:shape id="_x0000_i1034" type="#_x0000_t75" style="width:11.45pt;height:18.1pt" o:ole="">
            <v:imagedata r:id="rId26" o:title=""/>
          </v:shape>
          <o:OLEObject Type="Embed" ProgID="Equation.3" ShapeID="_x0000_i1034" DrawAspect="Content" ObjectID="_1541490894" r:id="rId27"/>
        </w:object>
      </w:r>
      <w:r w:rsidRPr="00704504">
        <w:rPr>
          <w:sz w:val="20"/>
        </w:rPr>
        <w:t xml:space="preserve">at time </w:t>
      </w:r>
      <w:r w:rsidRPr="00704504">
        <w:rPr>
          <w:position w:val="-6"/>
          <w:sz w:val="20"/>
        </w:rPr>
        <w:object w:dxaOrig="139" w:dyaOrig="240">
          <v:shape id="_x0000_i1035" type="#_x0000_t75" style="width:7.15pt;height:12.4pt" o:ole="">
            <v:imagedata r:id="rId28" o:title=""/>
          </v:shape>
          <o:OLEObject Type="Embed" ProgID="Equation.3" ShapeID="_x0000_i1035" DrawAspect="Content" ObjectID="_1541490895" r:id="rId29"/>
        </w:object>
      </w:r>
      <w:r w:rsidRPr="00704504">
        <w:rPr>
          <w:sz w:val="20"/>
        </w:rPr>
        <w:t xml:space="preserve"> can be estimated by using the </w:t>
      </w:r>
      <w:r w:rsidRPr="00704504">
        <w:rPr>
          <w:position w:val="-6"/>
          <w:sz w:val="20"/>
        </w:rPr>
        <w:object w:dxaOrig="440" w:dyaOrig="279">
          <v:shape id="_x0000_i1036" type="#_x0000_t75" style="width:21.95pt;height:14.3pt" o:ole="">
            <v:imagedata r:id="rId30" o:title=""/>
          </v:shape>
          <o:OLEObject Type="Embed" ProgID="Equation.3" ShapeID="_x0000_i1036" DrawAspect="Content" ObjectID="_1541490896" r:id="rId31"/>
        </w:object>
      </w:r>
      <w:r w:rsidRPr="00704504">
        <w:rPr>
          <w:sz w:val="20"/>
        </w:rPr>
        <w:t xml:space="preserve"> observations.</w:t>
      </w:r>
    </w:p>
    <w:p w:rsidR="00F475F7" w:rsidRPr="00704504" w:rsidRDefault="00F475F7" w:rsidP="00704504">
      <w:pPr>
        <w:spacing w:line="360" w:lineRule="auto"/>
        <w:jc w:val="both"/>
        <w:rPr>
          <w:sz w:val="20"/>
        </w:rPr>
      </w:pPr>
      <w:r w:rsidRPr="00704504">
        <w:rPr>
          <w:sz w:val="20"/>
        </w:rPr>
        <w:tab/>
      </w:r>
      <w:r w:rsidRPr="00704504">
        <w:rPr>
          <w:position w:val="-12"/>
          <w:sz w:val="20"/>
        </w:rPr>
        <w:object w:dxaOrig="1540" w:dyaOrig="400">
          <v:shape id="_x0000_i1037" type="#_x0000_t75" style="width:77.25pt;height:20.5pt" o:ole="">
            <v:imagedata r:id="rId32" o:title=""/>
          </v:shape>
          <o:OLEObject Type="Embed" ProgID="Equation.3" ShapeID="_x0000_i1037" DrawAspect="Content" ObjectID="_1541490897" r:id="rId33"/>
        </w:object>
      </w:r>
      <w:r w:rsidRPr="00704504">
        <w:rPr>
          <w:sz w:val="20"/>
        </w:rPr>
        <w:tab/>
      </w:r>
      <w:r w:rsidRPr="00704504">
        <w:rPr>
          <w:sz w:val="20"/>
        </w:rPr>
        <w:tab/>
      </w:r>
      <w:r w:rsidRPr="00704504">
        <w:rPr>
          <w:sz w:val="20"/>
        </w:rPr>
        <w:tab/>
      </w:r>
      <w:r w:rsidRPr="00704504">
        <w:rPr>
          <w:sz w:val="20"/>
        </w:rPr>
        <w:tab/>
      </w:r>
      <w:r w:rsidRPr="00704504">
        <w:rPr>
          <w:sz w:val="20"/>
        </w:rPr>
        <w:tab/>
        <w:t>(A2)</w:t>
      </w:r>
    </w:p>
    <w:p w:rsidR="00F475F7" w:rsidRPr="00704504" w:rsidRDefault="00F475F7" w:rsidP="00704504">
      <w:pPr>
        <w:spacing w:line="360" w:lineRule="auto"/>
        <w:jc w:val="both"/>
        <w:rPr>
          <w:sz w:val="20"/>
        </w:rPr>
      </w:pPr>
      <w:proofErr w:type="gramStart"/>
      <w:r w:rsidRPr="00704504">
        <w:rPr>
          <w:sz w:val="20"/>
        </w:rPr>
        <w:t>where</w:t>
      </w:r>
      <w:proofErr w:type="gramEnd"/>
      <w:r w:rsidRPr="00704504">
        <w:rPr>
          <w:position w:val="-12"/>
          <w:sz w:val="20"/>
        </w:rPr>
        <w:object w:dxaOrig="2000" w:dyaOrig="360">
          <v:shape id="_x0000_i1038" type="#_x0000_t75" style="width:100.15pt;height:18.1pt" o:ole="">
            <v:imagedata r:id="rId34" o:title=""/>
          </v:shape>
          <o:OLEObject Type="Embed" ProgID="Equation.3" ShapeID="_x0000_i1038" DrawAspect="Content" ObjectID="_1541490898" r:id="rId35"/>
        </w:object>
      </w:r>
      <w:r w:rsidRPr="00704504">
        <w:rPr>
          <w:sz w:val="20"/>
        </w:rPr>
        <w:t xml:space="preserve">contains factors that determine </w:t>
      </w:r>
      <w:r w:rsidRPr="00704504">
        <w:rPr>
          <w:position w:val="-12"/>
          <w:sz w:val="20"/>
        </w:rPr>
        <w:object w:dxaOrig="260" w:dyaOrig="360">
          <v:shape id="_x0000_i1039" type="#_x0000_t75" style="width:12.4pt;height:18.1pt" o:ole="">
            <v:imagedata r:id="rId36" o:title=""/>
          </v:shape>
          <o:OLEObject Type="Embed" ProgID="Equation.3" ShapeID="_x0000_i1039" DrawAspect="Content" ObjectID="_1541490899" r:id="rId37"/>
        </w:object>
      </w:r>
      <w:r w:rsidRPr="00704504">
        <w:rPr>
          <w:sz w:val="20"/>
        </w:rPr>
        <w:t xml:space="preserve">. Thus, the variance of the predicted residual at time </w:t>
      </w:r>
      <w:r w:rsidRPr="00704504">
        <w:rPr>
          <w:position w:val="-6"/>
          <w:sz w:val="20"/>
        </w:rPr>
        <w:object w:dxaOrig="139" w:dyaOrig="240">
          <v:shape id="_x0000_i1040" type="#_x0000_t75" style="width:7.15pt;height:12.4pt" o:ole="">
            <v:imagedata r:id="rId38" o:title=""/>
          </v:shape>
          <o:OLEObject Type="Embed" ProgID="Equation.3" ShapeID="_x0000_i1040" DrawAspect="Content" ObjectID="_1541490900" r:id="rId39"/>
        </w:object>
      </w:r>
      <w:r w:rsidRPr="00704504">
        <w:rPr>
          <w:sz w:val="20"/>
        </w:rPr>
        <w:t>can be written as</w:t>
      </w:r>
      <w:proofErr w:type="gramStart"/>
      <w:r w:rsidRPr="00704504">
        <w:rPr>
          <w:sz w:val="20"/>
        </w:rPr>
        <w:t xml:space="preserve">: </w:t>
      </w:r>
      <w:proofErr w:type="gramEnd"/>
      <w:r w:rsidRPr="00704504">
        <w:rPr>
          <w:position w:val="-14"/>
          <w:sz w:val="20"/>
        </w:rPr>
        <w:object w:dxaOrig="3120" w:dyaOrig="400">
          <v:shape id="_x0000_i1041" type="#_x0000_t75" style="width:155.45pt;height:20.5pt" o:ole="">
            <v:imagedata r:id="rId40" o:title=""/>
          </v:shape>
          <o:OLEObject Type="Embed" ProgID="Equation.3" ShapeID="_x0000_i1041" DrawAspect="Content" ObjectID="_1541490901" r:id="rId41"/>
        </w:object>
      </w:r>
      <w:r w:rsidRPr="00704504">
        <w:rPr>
          <w:sz w:val="20"/>
        </w:rPr>
        <w:t>.</w:t>
      </w:r>
    </w:p>
    <w:p w:rsidR="00F475F7" w:rsidRPr="00704504" w:rsidRDefault="00F475F7" w:rsidP="00704504">
      <w:pPr>
        <w:spacing w:line="360" w:lineRule="auto"/>
        <w:jc w:val="both"/>
        <w:rPr>
          <w:sz w:val="20"/>
        </w:rPr>
      </w:pPr>
      <w:r w:rsidRPr="00704504">
        <w:rPr>
          <w:sz w:val="20"/>
        </w:rPr>
        <w:t xml:space="preserve">If we choose a random time point </w:t>
      </w:r>
      <w:r w:rsidRPr="00704504">
        <w:rPr>
          <w:position w:val="-4"/>
          <w:sz w:val="20"/>
        </w:rPr>
        <w:object w:dxaOrig="180" w:dyaOrig="200">
          <v:shape id="_x0000_i1042" type="#_x0000_t75" style="width:9.05pt;height:9.55pt" o:ole="">
            <v:imagedata r:id="rId42" o:title=""/>
          </v:shape>
          <o:OLEObject Type="Embed" ProgID="Equation.3" ShapeID="_x0000_i1042" DrawAspect="Content" ObjectID="_1541490902" r:id="rId43"/>
        </w:object>
      </w:r>
      <w:r w:rsidRPr="00704504">
        <w:rPr>
          <w:sz w:val="20"/>
        </w:rPr>
        <w:t xml:space="preserve"> in the process such </w:t>
      </w:r>
      <w:proofErr w:type="gramStart"/>
      <w:r w:rsidRPr="00704504">
        <w:rPr>
          <w:sz w:val="20"/>
        </w:rPr>
        <w:t xml:space="preserve">that </w:t>
      </w:r>
      <w:proofErr w:type="gramEnd"/>
      <w:r w:rsidRPr="00704504">
        <w:rPr>
          <w:position w:val="-4"/>
          <w:sz w:val="20"/>
        </w:rPr>
        <w:object w:dxaOrig="560" w:dyaOrig="260">
          <v:shape id="_x0000_i1043" type="#_x0000_t75" style="width:27.65pt;height:12.4pt" o:ole="">
            <v:imagedata r:id="rId44" o:title=""/>
          </v:shape>
          <o:OLEObject Type="Embed" ProgID="Equation.3" ShapeID="_x0000_i1043" DrawAspect="Content" ObjectID="_1541490903" r:id="rId45"/>
        </w:object>
      </w:r>
      <w:r w:rsidRPr="00704504">
        <w:rPr>
          <w:sz w:val="20"/>
        </w:rPr>
        <w:t xml:space="preserve">, the </w:t>
      </w:r>
      <w:r w:rsidRPr="00704504">
        <w:rPr>
          <w:position w:val="-4"/>
          <w:sz w:val="20"/>
        </w:rPr>
        <w:object w:dxaOrig="180" w:dyaOrig="200">
          <v:shape id="_x0000_i1044" type="#_x0000_t75" style="width:9.05pt;height:9.55pt" o:ole="">
            <v:imagedata r:id="rId46" o:title=""/>
          </v:shape>
          <o:OLEObject Type="Embed" ProgID="Equation.3" ShapeID="_x0000_i1044" DrawAspect="Content" ObjectID="_1541490904" r:id="rId47"/>
        </w:object>
      </w:r>
      <w:proofErr w:type="spellStart"/>
      <w:r w:rsidRPr="00704504">
        <w:rPr>
          <w:sz w:val="20"/>
        </w:rPr>
        <w:t>th</w:t>
      </w:r>
      <w:proofErr w:type="spellEnd"/>
      <w:r w:rsidRPr="00704504">
        <w:rPr>
          <w:sz w:val="20"/>
        </w:rPr>
        <w:t xml:space="preserve"> standardized recursive residual from Equation (1) can be defined as:</w:t>
      </w:r>
    </w:p>
    <w:p w:rsidR="00F475F7" w:rsidRPr="00704504" w:rsidRDefault="00F475F7" w:rsidP="00704504">
      <w:pPr>
        <w:spacing w:line="360" w:lineRule="auto"/>
        <w:jc w:val="both"/>
        <w:rPr>
          <w:sz w:val="20"/>
        </w:rPr>
      </w:pPr>
      <w:r w:rsidRPr="00704504">
        <w:rPr>
          <w:position w:val="-38"/>
          <w:sz w:val="20"/>
        </w:rPr>
        <w:object w:dxaOrig="2960" w:dyaOrig="780">
          <v:shape id="_x0000_i1045" type="#_x0000_t75" style="width:147.35pt;height:39.1pt" o:ole="">
            <v:imagedata r:id="rId48" o:title=""/>
          </v:shape>
          <o:OLEObject Type="Embed" ProgID="Equation.3" ShapeID="_x0000_i1045" DrawAspect="Content" ObjectID="_1541490905" r:id="rId49"/>
        </w:object>
      </w:r>
      <w:r w:rsidRPr="00704504">
        <w:rPr>
          <w:sz w:val="20"/>
        </w:rPr>
        <w:tab/>
      </w:r>
      <w:r w:rsidRPr="00704504">
        <w:rPr>
          <w:sz w:val="20"/>
        </w:rPr>
        <w:tab/>
      </w:r>
      <w:r w:rsidRPr="00704504">
        <w:rPr>
          <w:sz w:val="20"/>
        </w:rPr>
        <w:tab/>
      </w:r>
      <w:r w:rsidRPr="00704504">
        <w:rPr>
          <w:sz w:val="20"/>
        </w:rPr>
        <w:tab/>
        <w:t xml:space="preserve">(A3), </w:t>
      </w:r>
    </w:p>
    <w:p w:rsidR="00F475F7" w:rsidRPr="00704504" w:rsidRDefault="00F475F7" w:rsidP="00704504">
      <w:pPr>
        <w:spacing w:line="360" w:lineRule="auto"/>
        <w:jc w:val="both"/>
        <w:rPr>
          <w:sz w:val="20"/>
        </w:rPr>
      </w:pPr>
    </w:p>
    <w:p w:rsidR="00F475F7" w:rsidRPr="00704504" w:rsidRDefault="00F475F7" w:rsidP="00704504">
      <w:pPr>
        <w:spacing w:line="360" w:lineRule="auto"/>
        <w:jc w:val="both"/>
        <w:rPr>
          <w:sz w:val="20"/>
        </w:rPr>
      </w:pPr>
      <w:proofErr w:type="gramStart"/>
      <w:r w:rsidRPr="00704504">
        <w:rPr>
          <w:sz w:val="20"/>
        </w:rPr>
        <w:t>and</w:t>
      </w:r>
      <w:proofErr w:type="gramEnd"/>
      <w:r w:rsidRPr="00704504">
        <w:rPr>
          <w:sz w:val="20"/>
        </w:rPr>
        <w:t xml:space="preserve"> the mean of this series of standardized residuals is given by </w:t>
      </w:r>
      <w:r w:rsidRPr="00704504">
        <w:rPr>
          <w:position w:val="-28"/>
          <w:sz w:val="20"/>
        </w:rPr>
        <w:object w:dxaOrig="1740" w:dyaOrig="680">
          <v:shape id="_x0000_i1046" type="#_x0000_t75" style="width:86.8pt;height:33.4pt" o:ole="">
            <v:imagedata r:id="rId50" o:title=""/>
          </v:shape>
          <o:OLEObject Type="Embed" ProgID="Equation.3" ShapeID="_x0000_i1046" DrawAspect="Content" ObjectID="_1541490906" r:id="rId51"/>
        </w:object>
      </w:r>
      <w:r w:rsidRPr="00704504">
        <w:rPr>
          <w:sz w:val="20"/>
        </w:rPr>
        <w:t xml:space="preserve"> (where </w:t>
      </w:r>
      <w:r w:rsidRPr="00704504">
        <w:rPr>
          <w:position w:val="-4"/>
          <w:sz w:val="20"/>
        </w:rPr>
        <w:object w:dxaOrig="260" w:dyaOrig="260">
          <v:shape id="_x0000_i1047" type="#_x0000_t75" style="width:12.4pt;height:12.4pt" o:ole="">
            <v:imagedata r:id="rId52" o:title=""/>
          </v:shape>
          <o:OLEObject Type="Embed" ProgID="Equation.3" ShapeID="_x0000_i1047" DrawAspect="Content" ObjectID="_1541490907" r:id="rId53"/>
        </w:object>
      </w:r>
      <w:r w:rsidRPr="00704504">
        <w:rPr>
          <w:sz w:val="20"/>
        </w:rPr>
        <w:t xml:space="preserve"> is the number of regressors).</w:t>
      </w:r>
    </w:p>
    <w:p w:rsidR="00F475F7" w:rsidRPr="00704504" w:rsidRDefault="00F475F7" w:rsidP="00704504">
      <w:pPr>
        <w:spacing w:line="360" w:lineRule="auto"/>
        <w:jc w:val="both"/>
        <w:rPr>
          <w:sz w:val="20"/>
        </w:rPr>
      </w:pPr>
    </w:p>
    <w:p w:rsidR="00F475F7" w:rsidRPr="00704504" w:rsidRDefault="00F475F7" w:rsidP="00704504">
      <w:pPr>
        <w:spacing w:line="360" w:lineRule="auto"/>
        <w:jc w:val="both"/>
        <w:rPr>
          <w:sz w:val="20"/>
        </w:rPr>
      </w:pPr>
      <w:r w:rsidRPr="00704504">
        <w:rPr>
          <w:sz w:val="20"/>
        </w:rPr>
        <w:lastRenderedPageBreak/>
        <w:t xml:space="preserve">If the coefficients in the whole sample period stay constant, we have </w:t>
      </w:r>
      <w:r w:rsidRPr="00704504">
        <w:rPr>
          <w:position w:val="-10"/>
          <w:sz w:val="20"/>
        </w:rPr>
        <w:object w:dxaOrig="1420" w:dyaOrig="360">
          <v:shape id="_x0000_i1048" type="#_x0000_t75" style="width:71.5pt;height:18.1pt" o:ole="">
            <v:imagedata r:id="rId54" o:title=""/>
          </v:shape>
          <o:OLEObject Type="Embed" ProgID="Equation.3" ShapeID="_x0000_i1048" DrawAspect="Content" ObjectID="_1541490908" r:id="rId55"/>
        </w:object>
      </w:r>
      <w:r w:rsidRPr="00704504">
        <w:rPr>
          <w:sz w:val="20"/>
        </w:rPr>
        <w:t xml:space="preserve"> to be normally distributed, where </w:t>
      </w:r>
      <w:r w:rsidRPr="00704504">
        <w:rPr>
          <w:position w:val="-10"/>
          <w:sz w:val="20"/>
        </w:rPr>
        <w:object w:dxaOrig="300" w:dyaOrig="340">
          <v:shape id="_x0000_i1049" type="#_x0000_t75" style="width:14.8pt;height:17.15pt" o:ole="">
            <v:imagedata r:id="rId56" o:title=""/>
          </v:shape>
          <o:OLEObject Type="Embed" ProgID="Equation.3" ShapeID="_x0000_i1049" DrawAspect="Content" ObjectID="_1541490909" r:id="rId57"/>
        </w:object>
      </w:r>
      <w:r w:rsidRPr="00704504">
        <w:rPr>
          <w:sz w:val="20"/>
        </w:rPr>
        <w:t xml:space="preserve"> is independent of </w:t>
      </w:r>
      <w:r w:rsidRPr="00704504">
        <w:rPr>
          <w:position w:val="-12"/>
          <w:sz w:val="20"/>
        </w:rPr>
        <w:object w:dxaOrig="300" w:dyaOrig="360">
          <v:shape id="_x0000_i1050" type="#_x0000_t75" style="width:14.8pt;height:18.1pt" o:ole="">
            <v:imagedata r:id="rId58" o:title=""/>
          </v:shape>
          <o:OLEObject Type="Embed" ProgID="Equation.3" ShapeID="_x0000_i1050" DrawAspect="Content" ObjectID="_1541490910" r:id="rId59"/>
        </w:object>
      </w:r>
      <w:r w:rsidRPr="00704504">
        <w:rPr>
          <w:sz w:val="20"/>
        </w:rPr>
        <w:t xml:space="preserve"> (given </w:t>
      </w:r>
      <w:r w:rsidRPr="00704504">
        <w:rPr>
          <w:position w:val="-6"/>
          <w:sz w:val="20"/>
        </w:rPr>
        <w:object w:dxaOrig="540" w:dyaOrig="240">
          <v:shape id="_x0000_i1051" type="#_x0000_t75" style="width:27.2pt;height:12.4pt" o:ole="">
            <v:imagedata r:id="rId60" o:title=""/>
          </v:shape>
          <o:OLEObject Type="Embed" ProgID="Equation.3" ShapeID="_x0000_i1051" DrawAspect="Content" ObjectID="_1541490911" r:id="rId61"/>
        </w:object>
      </w:r>
      <w:r w:rsidRPr="00704504">
        <w:rPr>
          <w:sz w:val="20"/>
        </w:rPr>
        <w:t xml:space="preserve">).We can accumulate these standardized residuals deflated by their standard error over the observation period (the CUSUM index) or estimate the relative sum of squared recursive standardized residuals (the CUSQ index). The comparison between the estimated CUSUM/CUSQ index and their corresponding pre-determined criteria can be used to tell the potential structural break in time-series </w:t>
      </w:r>
      <w:r w:rsidRPr="00704504">
        <w:rPr>
          <w:position w:val="-12"/>
          <w:sz w:val="20"/>
        </w:rPr>
        <w:object w:dxaOrig="260" w:dyaOrig="360">
          <v:shape id="_x0000_i1052" type="#_x0000_t75" style="width:12.4pt;height:18.1pt" o:ole="">
            <v:imagedata r:id="rId62" o:title=""/>
          </v:shape>
          <o:OLEObject Type="Embed" ProgID="Equation.3" ShapeID="_x0000_i1052" DrawAspect="Content" ObjectID="_1541490912" r:id="rId63"/>
        </w:object>
      </w:r>
      <w:r w:rsidRPr="00704504">
        <w:rPr>
          <w:sz w:val="20"/>
        </w:rPr>
        <w:t xml:space="preserve"> under various conditions.</w:t>
      </w:r>
    </w:p>
    <w:p w:rsidR="00F475F7" w:rsidRPr="00704504" w:rsidRDefault="00F475F7" w:rsidP="00704504">
      <w:pPr>
        <w:spacing w:line="360" w:lineRule="auto"/>
        <w:jc w:val="both"/>
        <w:rPr>
          <w:sz w:val="20"/>
        </w:rPr>
      </w:pPr>
      <w:r w:rsidRPr="00704504">
        <w:rPr>
          <w:sz w:val="20"/>
        </w:rPr>
        <w:t>The CUSUM Index can be defined as:</w:t>
      </w:r>
    </w:p>
    <w:p w:rsidR="00F475F7" w:rsidRPr="00704504" w:rsidRDefault="00F475F7" w:rsidP="00704504">
      <w:pPr>
        <w:spacing w:line="360" w:lineRule="auto"/>
        <w:jc w:val="both"/>
        <w:rPr>
          <w:sz w:val="20"/>
        </w:rPr>
      </w:pPr>
      <w:r w:rsidRPr="00704504">
        <w:rPr>
          <w:sz w:val="20"/>
        </w:rPr>
        <w:tab/>
      </w:r>
      <w:r w:rsidRPr="00704504">
        <w:rPr>
          <w:position w:val="-28"/>
          <w:sz w:val="20"/>
        </w:rPr>
        <w:object w:dxaOrig="2740" w:dyaOrig="680">
          <v:shape id="_x0000_i1053" type="#_x0000_t75" style="width:136.85pt;height:33.4pt" o:ole="">
            <v:imagedata r:id="rId64" o:title=""/>
          </v:shape>
          <o:OLEObject Type="Embed" ProgID="Equation.3" ShapeID="_x0000_i1053" DrawAspect="Content" ObjectID="_1541490913" r:id="rId65"/>
        </w:object>
      </w:r>
      <w:r w:rsidRPr="00704504">
        <w:rPr>
          <w:sz w:val="20"/>
        </w:rPr>
        <w:tab/>
      </w:r>
      <w:r w:rsidRPr="00704504">
        <w:rPr>
          <w:sz w:val="20"/>
        </w:rPr>
        <w:tab/>
      </w:r>
      <w:r w:rsidRPr="00704504">
        <w:rPr>
          <w:sz w:val="20"/>
        </w:rPr>
        <w:tab/>
      </w:r>
      <w:r w:rsidRPr="00704504">
        <w:rPr>
          <w:sz w:val="20"/>
        </w:rPr>
        <w:tab/>
      </w:r>
      <w:r w:rsidRPr="00704504">
        <w:rPr>
          <w:sz w:val="20"/>
        </w:rPr>
        <w:tab/>
        <w:t>(A4)</w:t>
      </w:r>
    </w:p>
    <w:p w:rsidR="00F475F7" w:rsidRPr="00704504" w:rsidRDefault="00F475F7" w:rsidP="00704504">
      <w:pPr>
        <w:spacing w:line="360" w:lineRule="auto"/>
        <w:jc w:val="both"/>
        <w:rPr>
          <w:sz w:val="20"/>
        </w:rPr>
      </w:pPr>
      <w:r w:rsidRPr="00704504">
        <w:rPr>
          <w:sz w:val="20"/>
        </w:rPr>
        <w:t xml:space="preserve">Where </w:t>
      </w:r>
      <w:proofErr w:type="spellStart"/>
      <w:r w:rsidRPr="00704504">
        <w:rPr>
          <w:sz w:val="20"/>
        </w:rPr>
        <w:t>w</w:t>
      </w:r>
      <w:r w:rsidRPr="00704504">
        <w:rPr>
          <w:sz w:val="20"/>
          <w:vertAlign w:val="subscript"/>
        </w:rPr>
        <w:t>r</w:t>
      </w:r>
      <w:proofErr w:type="spellEnd"/>
      <w:r w:rsidRPr="00704504">
        <w:rPr>
          <w:sz w:val="20"/>
          <w:vertAlign w:val="subscript"/>
        </w:rPr>
        <w:t xml:space="preserve"> </w:t>
      </w:r>
      <w:r w:rsidRPr="00704504">
        <w:rPr>
          <w:sz w:val="20"/>
        </w:rPr>
        <w:t xml:space="preserve">is the </w:t>
      </w:r>
      <w:r w:rsidRPr="00704504">
        <w:rPr>
          <w:position w:val="-4"/>
          <w:sz w:val="20"/>
        </w:rPr>
        <w:object w:dxaOrig="180" w:dyaOrig="200">
          <v:shape id="_x0000_i1054" type="#_x0000_t75" style="width:9.05pt;height:9.55pt" o:ole="">
            <v:imagedata r:id="rId46" o:title=""/>
          </v:shape>
          <o:OLEObject Type="Embed" ProgID="Equation.3" ShapeID="_x0000_i1054" DrawAspect="Content" ObjectID="_1541490914" r:id="rId66"/>
        </w:object>
      </w:r>
      <w:proofErr w:type="spellStart"/>
      <w:proofErr w:type="gramStart"/>
      <w:r w:rsidRPr="00D53241">
        <w:rPr>
          <w:color w:val="FF0000"/>
          <w:sz w:val="20"/>
          <w:vertAlign w:val="superscript"/>
        </w:rPr>
        <w:t>th</w:t>
      </w:r>
      <w:proofErr w:type="spellEnd"/>
      <w:proofErr w:type="gramEnd"/>
      <w:r w:rsidRPr="00704504">
        <w:rPr>
          <w:sz w:val="20"/>
        </w:rPr>
        <w:t xml:space="preserve"> standardized recursive residual and </w:t>
      </w:r>
      <w:r w:rsidRPr="00704504">
        <w:rPr>
          <w:position w:val="-28"/>
          <w:sz w:val="20"/>
        </w:rPr>
        <w:object w:dxaOrig="2760" w:dyaOrig="680">
          <v:shape id="_x0000_i1055" type="#_x0000_t75" style="width:137.8pt;height:33.4pt" o:ole="">
            <v:imagedata r:id="rId67" o:title=""/>
          </v:shape>
          <o:OLEObject Type="Embed" ProgID="Equation.3" ShapeID="_x0000_i1055" DrawAspect="Content" ObjectID="_1541490915" r:id="rId68"/>
        </w:object>
      </w:r>
      <w:r w:rsidRPr="00704504">
        <w:rPr>
          <w:sz w:val="20"/>
        </w:rPr>
        <w:t xml:space="preserve"> is the standard error of the series. </w:t>
      </w:r>
    </w:p>
    <w:p w:rsidR="00F475F7" w:rsidRPr="00704504" w:rsidRDefault="00F475F7" w:rsidP="00704504">
      <w:pPr>
        <w:spacing w:line="360" w:lineRule="auto"/>
        <w:jc w:val="both"/>
        <w:rPr>
          <w:sz w:val="20"/>
        </w:rPr>
      </w:pPr>
      <w:r w:rsidRPr="00704504">
        <w:rPr>
          <w:sz w:val="20"/>
        </w:rPr>
        <w:t>Under the initial assumption, the mean of CUSUM index is zero and variance is approximately equal to the number of accumulated residuals. The pre-determined boundary criteria are set at [</w:t>
      </w:r>
      <w:r w:rsidRPr="00704504">
        <w:rPr>
          <w:position w:val="-6"/>
          <w:sz w:val="20"/>
        </w:rPr>
        <w:object w:dxaOrig="1340" w:dyaOrig="340">
          <v:shape id="_x0000_i1056" type="#_x0000_t75" style="width:66.3pt;height:17.15pt" o:ole="">
            <v:imagedata r:id="rId69" o:title=""/>
          </v:shape>
          <o:OLEObject Type="Embed" ProgID="Equation.3" ShapeID="_x0000_i1056" DrawAspect="Content" ObjectID="_1541490916" r:id="rId70"/>
        </w:object>
      </w:r>
      <w:r w:rsidRPr="00704504">
        <w:rPr>
          <w:sz w:val="20"/>
        </w:rPr>
        <w:t xml:space="preserve">] and </w:t>
      </w:r>
      <w:r w:rsidRPr="00704504">
        <w:rPr>
          <w:position w:val="-6"/>
          <w:sz w:val="20"/>
        </w:rPr>
        <w:object w:dxaOrig="1480" w:dyaOrig="340">
          <v:shape id="_x0000_i1057" type="#_x0000_t75" style="width:73.9pt;height:17.15pt" o:ole="">
            <v:imagedata r:id="rId71" o:title=""/>
          </v:shape>
          <o:OLEObject Type="Embed" ProgID="Equation.3" ShapeID="_x0000_i1057" DrawAspect="Content" ObjectID="_1541490917" r:id="rId72"/>
        </w:object>
      </w:r>
      <w:r w:rsidRPr="00704504">
        <w:rPr>
          <w:sz w:val="20"/>
        </w:rPr>
        <w:t xml:space="preserve"> where </w:t>
      </w:r>
      <w:r w:rsidRPr="00704504">
        <w:rPr>
          <w:i/>
          <w:sz w:val="20"/>
        </w:rPr>
        <w:t xml:space="preserve">a </w:t>
      </w:r>
      <w:r w:rsidRPr="00704504">
        <w:rPr>
          <w:sz w:val="20"/>
        </w:rPr>
        <w:t>is the statistical significance level</w:t>
      </w:r>
      <w:proofErr w:type="gramStart"/>
      <w:r w:rsidRPr="00704504">
        <w:rPr>
          <w:sz w:val="20"/>
        </w:rPr>
        <w:t>..</w:t>
      </w:r>
      <w:proofErr w:type="gramEnd"/>
      <w:r w:rsidRPr="00704504">
        <w:rPr>
          <w:sz w:val="20"/>
        </w:rPr>
        <w:t xml:space="preserve">If the CUSUM index (estimated with Equation (A4)) at time </w:t>
      </w:r>
      <w:r w:rsidRPr="00704504">
        <w:rPr>
          <w:position w:val="-6"/>
          <w:sz w:val="20"/>
        </w:rPr>
        <w:object w:dxaOrig="139" w:dyaOrig="240">
          <v:shape id="_x0000_i1058" type="#_x0000_t75" style="width:7.15pt;height:12.4pt" o:ole="">
            <v:imagedata r:id="rId73" o:title=""/>
          </v:shape>
          <o:OLEObject Type="Embed" ProgID="Equation.3" ShapeID="_x0000_i1058" DrawAspect="Content" ObjectID="_1541490918" r:id="rId74"/>
        </w:object>
      </w:r>
      <w:r w:rsidRPr="00704504">
        <w:rPr>
          <w:sz w:val="20"/>
        </w:rPr>
        <w:t>lies outside these boundaries it suggests that there is a possible breaking point in time-series (</w:t>
      </w:r>
      <w:r w:rsidRPr="00704504">
        <w:rPr>
          <w:position w:val="-12"/>
          <w:sz w:val="20"/>
        </w:rPr>
        <w:object w:dxaOrig="260" w:dyaOrig="360">
          <v:shape id="_x0000_i1059" type="#_x0000_t75" style="width:12.4pt;height:18.1pt" o:ole="">
            <v:imagedata r:id="rId75" o:title=""/>
          </v:shape>
          <o:OLEObject Type="Embed" ProgID="Equation.3" ShapeID="_x0000_i1059" DrawAspect="Content" ObjectID="_1541490919" r:id="rId76"/>
        </w:object>
      </w:r>
      <w:r w:rsidRPr="00704504">
        <w:rPr>
          <w:sz w:val="20"/>
        </w:rPr>
        <w:t xml:space="preserve">) at </w:t>
      </w:r>
      <w:proofErr w:type="gramStart"/>
      <w:r w:rsidRPr="00704504">
        <w:rPr>
          <w:sz w:val="20"/>
        </w:rPr>
        <w:t xml:space="preserve">time </w:t>
      </w:r>
      <w:proofErr w:type="gramEnd"/>
      <w:r w:rsidRPr="00704504">
        <w:rPr>
          <w:position w:val="-6"/>
          <w:sz w:val="20"/>
        </w:rPr>
        <w:object w:dxaOrig="139" w:dyaOrig="240">
          <v:shape id="_x0000_i1060" type="#_x0000_t75" style="width:7.15pt;height:12.4pt" o:ole="">
            <v:imagedata r:id="rId77" o:title=""/>
          </v:shape>
          <o:OLEObject Type="Embed" ProgID="Equation.3" ShapeID="_x0000_i1060" DrawAspect="Content" ObjectID="_1541490920" r:id="rId78"/>
        </w:object>
      </w:r>
      <w:r w:rsidRPr="00704504">
        <w:rPr>
          <w:sz w:val="20"/>
        </w:rPr>
        <w:t>.</w:t>
      </w:r>
    </w:p>
    <w:p w:rsidR="00F475F7" w:rsidRPr="00704504" w:rsidRDefault="00F475F7" w:rsidP="00704504">
      <w:pPr>
        <w:spacing w:line="360" w:lineRule="auto"/>
        <w:jc w:val="both"/>
        <w:rPr>
          <w:sz w:val="20"/>
        </w:rPr>
      </w:pPr>
      <w:r w:rsidRPr="00704504">
        <w:rPr>
          <w:sz w:val="20"/>
        </w:rPr>
        <w:t>The CUSMSQ index can be defined as:</w:t>
      </w:r>
    </w:p>
    <w:p w:rsidR="00F475F7" w:rsidRPr="00704504" w:rsidRDefault="00F475F7" w:rsidP="00704504">
      <w:pPr>
        <w:spacing w:line="360" w:lineRule="auto"/>
        <w:jc w:val="both"/>
        <w:rPr>
          <w:sz w:val="20"/>
        </w:rPr>
      </w:pPr>
    </w:p>
    <w:p w:rsidR="00F475F7" w:rsidRPr="00704504" w:rsidRDefault="00F475F7" w:rsidP="00704504">
      <w:pPr>
        <w:spacing w:line="360" w:lineRule="auto"/>
        <w:jc w:val="both"/>
        <w:rPr>
          <w:sz w:val="20"/>
        </w:rPr>
      </w:pPr>
      <w:r w:rsidRPr="00704504">
        <w:rPr>
          <w:sz w:val="20"/>
        </w:rPr>
        <w:tab/>
      </w:r>
      <w:r w:rsidRPr="00704504">
        <w:rPr>
          <w:position w:val="-60"/>
          <w:sz w:val="20"/>
        </w:rPr>
        <w:object w:dxaOrig="1240" w:dyaOrig="1320">
          <v:shape id="_x0000_i1061" type="#_x0000_t75" style="width:62.45pt;height:65.3pt" o:ole="">
            <v:imagedata r:id="rId79" o:title=""/>
          </v:shape>
          <o:OLEObject Type="Embed" ProgID="Equation.3" ShapeID="_x0000_i1061" DrawAspect="Content" ObjectID="_1541490921" r:id="rId80"/>
        </w:object>
      </w:r>
      <w:r w:rsidRPr="00704504">
        <w:rPr>
          <w:sz w:val="20"/>
        </w:rPr>
        <w:tab/>
      </w:r>
      <w:r w:rsidRPr="00704504">
        <w:rPr>
          <w:sz w:val="20"/>
        </w:rPr>
        <w:tab/>
      </w:r>
      <w:r w:rsidRPr="00704504">
        <w:rPr>
          <w:sz w:val="20"/>
        </w:rPr>
        <w:tab/>
      </w:r>
      <w:r w:rsidRPr="00704504">
        <w:rPr>
          <w:sz w:val="20"/>
        </w:rPr>
        <w:tab/>
      </w:r>
      <w:r w:rsidRPr="00704504">
        <w:rPr>
          <w:sz w:val="20"/>
        </w:rPr>
        <w:tab/>
      </w:r>
      <w:r w:rsidRPr="00704504">
        <w:rPr>
          <w:sz w:val="20"/>
        </w:rPr>
        <w:tab/>
      </w:r>
      <w:r w:rsidRPr="00704504">
        <w:rPr>
          <w:sz w:val="20"/>
        </w:rPr>
        <w:tab/>
        <w:t>(A5)</w:t>
      </w:r>
    </w:p>
    <w:p w:rsidR="00F475F7" w:rsidRPr="00704504" w:rsidRDefault="00F475F7" w:rsidP="00704504">
      <w:pPr>
        <w:spacing w:line="360" w:lineRule="auto"/>
        <w:jc w:val="both"/>
        <w:rPr>
          <w:sz w:val="20"/>
        </w:rPr>
      </w:pPr>
      <w:r w:rsidRPr="00704504">
        <w:rPr>
          <w:sz w:val="20"/>
        </w:rPr>
        <w:t>Where the expected value of S</w:t>
      </w:r>
      <w:r w:rsidRPr="00704504">
        <w:rPr>
          <w:sz w:val="20"/>
          <w:vertAlign w:val="subscript"/>
        </w:rPr>
        <w:t>t</w:t>
      </w:r>
      <w:r w:rsidRPr="00704504">
        <w:rPr>
          <w:sz w:val="20"/>
        </w:rPr>
        <w:t>,</w:t>
      </w:r>
      <w:r w:rsidRPr="00704504">
        <w:rPr>
          <w:position w:val="-12"/>
          <w:sz w:val="20"/>
        </w:rPr>
        <w:object w:dxaOrig="639" w:dyaOrig="360">
          <v:shape id="_x0000_i1062" type="#_x0000_t75" style="width:31.95pt;height:18.1pt" o:ole="">
            <v:imagedata r:id="rId81" o:title=""/>
          </v:shape>
          <o:OLEObject Type="Embed" ProgID="Equation.3" ShapeID="_x0000_i1062" DrawAspect="Content" ObjectID="_1541490922" r:id="rId82"/>
        </w:object>
      </w:r>
      <w:proofErr w:type="gramStart"/>
      <w:r w:rsidRPr="00704504">
        <w:rPr>
          <w:sz w:val="20"/>
        </w:rPr>
        <w:t>,</w:t>
      </w:r>
      <w:proofErr w:type="gramEnd"/>
      <w:r w:rsidRPr="00704504">
        <w:rPr>
          <w:sz w:val="20"/>
        </w:rPr>
        <w:t xml:space="preserve"> approximates to </w:t>
      </w:r>
      <w:r w:rsidRPr="00704504">
        <w:rPr>
          <w:position w:val="-10"/>
          <w:sz w:val="20"/>
        </w:rPr>
        <w:object w:dxaOrig="1579" w:dyaOrig="320">
          <v:shape id="_x0000_i1063" type="#_x0000_t75" style="width:79.15pt;height:16.2pt" o:ole="">
            <v:imagedata r:id="rId83" o:title=""/>
          </v:shape>
          <o:OLEObject Type="Embed" ProgID="Equation.3" ShapeID="_x0000_i1063" DrawAspect="Content" ObjectID="_1541490923" r:id="rId84"/>
        </w:object>
      </w:r>
      <w:r w:rsidRPr="00704504">
        <w:rPr>
          <w:sz w:val="20"/>
        </w:rPr>
        <w:t xml:space="preserve">, which satisfies the Chi-square distribution. The pre-determined criteria is set between </w:t>
      </w:r>
      <w:r w:rsidRPr="00704504">
        <w:rPr>
          <w:position w:val="-10"/>
          <w:sz w:val="20"/>
        </w:rPr>
        <w:object w:dxaOrig="900" w:dyaOrig="320">
          <v:shape id="_x0000_i1064" type="#_x0000_t75" style="width:44.8pt;height:16.2pt" o:ole="">
            <v:imagedata r:id="rId85" o:title=""/>
          </v:shape>
          <o:OLEObject Type="Embed" ProgID="Equation.3" ShapeID="_x0000_i1064" DrawAspect="Content" ObjectID="_1541490924" r:id="rId86"/>
        </w:object>
      </w:r>
      <w:proofErr w:type="gramStart"/>
      <w:r w:rsidRPr="00704504">
        <w:rPr>
          <w:sz w:val="20"/>
        </w:rPr>
        <w:t xml:space="preserve">and </w:t>
      </w:r>
      <w:proofErr w:type="gramEnd"/>
      <w:r w:rsidRPr="00704504">
        <w:rPr>
          <w:position w:val="-10"/>
          <w:sz w:val="20"/>
        </w:rPr>
        <w:object w:dxaOrig="900" w:dyaOrig="320">
          <v:shape id="_x0000_i1065" type="#_x0000_t75" style="width:44.8pt;height:16.2pt" o:ole="">
            <v:imagedata r:id="rId87" o:title=""/>
          </v:shape>
          <o:OLEObject Type="Embed" ProgID="Equation.3" ShapeID="_x0000_i1065" DrawAspect="Content" ObjectID="_1541490925" r:id="rId88"/>
        </w:object>
      </w:r>
      <w:r w:rsidRPr="00704504">
        <w:rPr>
          <w:sz w:val="20"/>
        </w:rPr>
        <w:t xml:space="preserve">, where </w:t>
      </w:r>
      <w:r w:rsidRPr="00704504">
        <w:rPr>
          <w:position w:val="-6"/>
          <w:sz w:val="20"/>
        </w:rPr>
        <w:object w:dxaOrig="200" w:dyaOrig="220">
          <v:shape id="_x0000_i1066" type="#_x0000_t75" style="width:9.55pt;height:11.45pt" o:ole="">
            <v:imagedata r:id="rId89" o:title=""/>
          </v:shape>
          <o:OLEObject Type="Embed" ProgID="Equation.3" ShapeID="_x0000_i1066" DrawAspect="Content" ObjectID="_1541490926" r:id="rId90"/>
        </w:object>
      </w:r>
      <w:r w:rsidRPr="00704504">
        <w:rPr>
          <w:sz w:val="20"/>
        </w:rPr>
        <w:t>is the statistical significance level . If there is a structural break, S</w:t>
      </w:r>
      <w:r w:rsidRPr="00704504">
        <w:rPr>
          <w:sz w:val="20"/>
          <w:vertAlign w:val="subscript"/>
        </w:rPr>
        <w:t>t</w:t>
      </w:r>
      <w:r w:rsidRPr="00704504">
        <w:rPr>
          <w:sz w:val="20"/>
        </w:rPr>
        <w:t xml:space="preserve"> is likely to lie outside of the interval between </w:t>
      </w:r>
      <w:r w:rsidRPr="00704504">
        <w:rPr>
          <w:position w:val="-10"/>
          <w:sz w:val="20"/>
        </w:rPr>
        <w:object w:dxaOrig="900" w:dyaOrig="320">
          <v:shape id="_x0000_i1067" type="#_x0000_t75" style="width:44.8pt;height:16.2pt" o:ole="">
            <v:imagedata r:id="rId91" o:title=""/>
          </v:shape>
          <o:OLEObject Type="Embed" ProgID="Equation.3" ShapeID="_x0000_i1067" DrawAspect="Content" ObjectID="_1541490927" r:id="rId92"/>
        </w:object>
      </w:r>
      <w:proofErr w:type="gramStart"/>
      <w:r w:rsidRPr="00704504">
        <w:rPr>
          <w:sz w:val="20"/>
        </w:rPr>
        <w:t xml:space="preserve">and </w:t>
      </w:r>
      <w:proofErr w:type="gramEnd"/>
      <w:r w:rsidRPr="00704504">
        <w:rPr>
          <w:position w:val="-10"/>
          <w:sz w:val="20"/>
        </w:rPr>
        <w:object w:dxaOrig="900" w:dyaOrig="320">
          <v:shape id="_x0000_i1068" type="#_x0000_t75" style="width:44.8pt;height:16.2pt" o:ole="">
            <v:imagedata r:id="rId93" o:title=""/>
          </v:shape>
          <o:OLEObject Type="Embed" ProgID="Equation.3" ShapeID="_x0000_i1068" DrawAspect="Content" ObjectID="_1541490928" r:id="rId94"/>
        </w:object>
      </w:r>
      <w:r w:rsidRPr="00704504">
        <w:rPr>
          <w:sz w:val="20"/>
        </w:rPr>
        <w:t>.</w:t>
      </w:r>
    </w:p>
    <w:p w:rsidR="00F475F7" w:rsidRPr="00D53241" w:rsidRDefault="00F475F7" w:rsidP="00704504">
      <w:pPr>
        <w:spacing w:line="360" w:lineRule="auto"/>
        <w:jc w:val="both"/>
        <w:rPr>
          <w:b/>
          <w:color w:val="000000" w:themeColor="text1"/>
          <w:sz w:val="20"/>
        </w:rPr>
      </w:pPr>
      <w:r w:rsidRPr="00D53241">
        <w:rPr>
          <w:b/>
          <w:color w:val="000000" w:themeColor="text1"/>
          <w:sz w:val="20"/>
        </w:rPr>
        <w:t>Adjusted CUSUM Squares Test under General Mixing Conditions</w:t>
      </w:r>
    </w:p>
    <w:p w:rsidR="00F475F7" w:rsidRPr="00704504" w:rsidRDefault="00F475F7" w:rsidP="00704504">
      <w:pPr>
        <w:spacing w:line="360" w:lineRule="auto"/>
        <w:jc w:val="both"/>
        <w:rPr>
          <w:sz w:val="20"/>
        </w:rPr>
      </w:pPr>
      <w:r w:rsidRPr="00704504">
        <w:rPr>
          <w:sz w:val="20"/>
        </w:rPr>
        <w:t xml:space="preserve">The prototype model of the CUSUM/CUSQ test can be used to implement the structural change analysis of time-series variables. However, it has been widely criticised for not being able to address the case when there is a strong correlation between regressors and unobserved error terms. To address this issue, Tang and </w:t>
      </w:r>
      <w:proofErr w:type="spellStart"/>
      <w:r w:rsidRPr="00704504">
        <w:rPr>
          <w:sz w:val="20"/>
        </w:rPr>
        <w:t>MacNeill</w:t>
      </w:r>
      <w:proofErr w:type="spellEnd"/>
      <w:r w:rsidRPr="00704504">
        <w:rPr>
          <w:sz w:val="20"/>
        </w:rPr>
        <w:t xml:space="preserve"> </w:t>
      </w:r>
      <w:r w:rsidR="00C10360" w:rsidRPr="00704504">
        <w:rPr>
          <w:color w:val="FF0000"/>
          <w:sz w:val="20"/>
        </w:rPr>
        <w:t>[28</w:t>
      </w:r>
      <w:r w:rsidR="00623D7B" w:rsidRPr="00704504">
        <w:rPr>
          <w:color w:val="FF0000"/>
          <w:sz w:val="20"/>
        </w:rPr>
        <w:t>]</w:t>
      </w:r>
      <w:r w:rsidR="00623D7B" w:rsidRPr="00704504">
        <w:rPr>
          <w:sz w:val="20"/>
        </w:rPr>
        <w:t xml:space="preserve"> </w:t>
      </w:r>
      <w:r w:rsidRPr="00704504">
        <w:rPr>
          <w:sz w:val="20"/>
        </w:rPr>
        <w:t>first adjusted the CUSUM/CUSQ test to account for serial correlation among error terms (</w:t>
      </w:r>
      <w:r w:rsidRPr="00704504">
        <w:rPr>
          <w:position w:val="-12"/>
          <w:sz w:val="20"/>
        </w:rPr>
        <w:object w:dxaOrig="240" w:dyaOrig="360">
          <v:shape id="_x0000_i1069" type="#_x0000_t75" style="width:12.4pt;height:18.1pt" o:ole="">
            <v:imagedata r:id="rId95" o:title=""/>
          </v:shape>
          <o:OLEObject Type="Embed" ProgID="Equation.3" ShapeID="_x0000_i1069" DrawAspect="Content" ObjectID="_1541490929" r:id="rId96"/>
        </w:object>
      </w:r>
      <w:r w:rsidRPr="00704504">
        <w:rPr>
          <w:sz w:val="20"/>
        </w:rPr>
        <w:t>in Equati</w:t>
      </w:r>
      <w:r w:rsidR="00623D7B" w:rsidRPr="00704504">
        <w:rPr>
          <w:sz w:val="20"/>
        </w:rPr>
        <w:t xml:space="preserve">on (1)). Later, Bai and Perron </w:t>
      </w:r>
      <w:r w:rsidR="00C10360" w:rsidRPr="00704504">
        <w:rPr>
          <w:color w:val="FF0000"/>
          <w:sz w:val="20"/>
        </w:rPr>
        <w:t>[22</w:t>
      </w:r>
      <w:r w:rsidR="00623D7B" w:rsidRPr="00704504">
        <w:rPr>
          <w:color w:val="FF0000"/>
          <w:sz w:val="20"/>
        </w:rPr>
        <w:t>]</w:t>
      </w:r>
      <w:r w:rsidR="00623D7B" w:rsidRPr="00704504">
        <w:rPr>
          <w:sz w:val="20"/>
        </w:rPr>
        <w:t xml:space="preserve"> </w:t>
      </w:r>
      <w:r w:rsidRPr="00704504">
        <w:rPr>
          <w:sz w:val="20"/>
        </w:rPr>
        <w:t>further extended the CUSUM test to cover the issue of identifying multiple structural changes for a given period.</w:t>
      </w:r>
      <w:r w:rsidR="00623D7B" w:rsidRPr="00704504">
        <w:rPr>
          <w:sz w:val="20"/>
        </w:rPr>
        <w:t xml:space="preserve"> More recently, Deng and Perron</w:t>
      </w:r>
      <w:r w:rsidRPr="00704504">
        <w:rPr>
          <w:sz w:val="20"/>
        </w:rPr>
        <w:t xml:space="preserve"> </w:t>
      </w:r>
      <w:r w:rsidR="00C10360" w:rsidRPr="00704504">
        <w:rPr>
          <w:color w:val="FF0000"/>
          <w:sz w:val="20"/>
        </w:rPr>
        <w:t>[19</w:t>
      </w:r>
      <w:r w:rsidR="00623D7B" w:rsidRPr="00704504">
        <w:rPr>
          <w:color w:val="FF0000"/>
          <w:sz w:val="20"/>
        </w:rPr>
        <w:t>]</w:t>
      </w:r>
      <w:r w:rsidR="00623D7B" w:rsidRPr="00704504">
        <w:rPr>
          <w:sz w:val="20"/>
        </w:rPr>
        <w:t xml:space="preserve"> </w:t>
      </w:r>
      <w:r w:rsidRPr="00704504">
        <w:rPr>
          <w:sz w:val="20"/>
        </w:rPr>
        <w:t>improved the CUSUM/CUSQ test by developing an adjusted CUSQ test that is independent of backward coefficient estimation (</w:t>
      </w:r>
      <w:r w:rsidRPr="00704504">
        <w:rPr>
          <w:position w:val="-12"/>
          <w:sz w:val="20"/>
        </w:rPr>
        <w:object w:dxaOrig="220" w:dyaOrig="360">
          <v:shape id="_x0000_i1070" type="#_x0000_t75" style="width:11.45pt;height:18.1pt" o:ole="">
            <v:imagedata r:id="rId97" o:title=""/>
          </v:shape>
          <o:OLEObject Type="Embed" ProgID="Equation.3" ShapeID="_x0000_i1070" DrawAspect="Content" ObjectID="_1541490930" r:id="rId98"/>
        </w:object>
      </w:r>
      <w:r w:rsidRPr="00704504">
        <w:rPr>
          <w:sz w:val="20"/>
        </w:rPr>
        <w:t xml:space="preserve">) especially when there are limited </w:t>
      </w:r>
      <w:r w:rsidRPr="00704504">
        <w:rPr>
          <w:sz w:val="20"/>
        </w:rPr>
        <w:lastRenderedPageBreak/>
        <w:t>observations. The advantages of the new method are that (1) it can be used to identify the structural change even when a weakly stationary situation exists (</w:t>
      </w:r>
      <w:proofErr w:type="gramStart"/>
      <w:r w:rsidRPr="00704504">
        <w:rPr>
          <w:sz w:val="20"/>
        </w:rPr>
        <w:t xml:space="preserve">where </w:t>
      </w:r>
      <w:proofErr w:type="gramEnd"/>
      <w:r w:rsidRPr="00704504">
        <w:rPr>
          <w:position w:val="-12"/>
          <w:sz w:val="20"/>
        </w:rPr>
        <w:object w:dxaOrig="1219" w:dyaOrig="360">
          <v:shape id="_x0000_i1071" type="#_x0000_t75" style="width:60.55pt;height:18.1pt" o:ole="">
            <v:imagedata r:id="rId99" o:title=""/>
          </v:shape>
          <o:OLEObject Type="Embed" ProgID="Equation.3" ShapeID="_x0000_i1071" DrawAspect="Content" ObjectID="_1541490931" r:id="rId100"/>
        </w:object>
      </w:r>
      <w:r w:rsidRPr="00704504">
        <w:rPr>
          <w:sz w:val="20"/>
        </w:rPr>
        <w:t>); (2) it can be used to identify multiple structural breaks at the same time.</w:t>
      </w:r>
    </w:p>
    <w:p w:rsidR="00F475F7" w:rsidRPr="00704504" w:rsidRDefault="00F475F7" w:rsidP="00704504">
      <w:pPr>
        <w:spacing w:line="360" w:lineRule="auto"/>
        <w:jc w:val="both"/>
        <w:rPr>
          <w:sz w:val="20"/>
        </w:rPr>
      </w:pPr>
      <w:r w:rsidRPr="00704504">
        <w:rPr>
          <w:sz w:val="20"/>
        </w:rPr>
        <w:t>To see how the adjusted CUSQ index works, we follow Deng and Perron (</w:t>
      </w:r>
      <w:r w:rsidR="00623D7B" w:rsidRPr="00704504">
        <w:rPr>
          <w:color w:val="FF0000"/>
          <w:sz w:val="20"/>
        </w:rPr>
        <w:t>[1</w:t>
      </w:r>
      <w:r w:rsidR="00C10360" w:rsidRPr="00704504">
        <w:rPr>
          <w:color w:val="FF0000"/>
          <w:sz w:val="20"/>
        </w:rPr>
        <w:t>9</w:t>
      </w:r>
      <w:r w:rsidR="00623D7B" w:rsidRPr="00704504">
        <w:rPr>
          <w:color w:val="FF0000"/>
          <w:sz w:val="20"/>
        </w:rPr>
        <w:t>]</w:t>
      </w:r>
      <w:r w:rsidRPr="00704504">
        <w:rPr>
          <w:sz w:val="20"/>
        </w:rPr>
        <w:t>; p.</w:t>
      </w:r>
      <w:r w:rsidR="00D53241">
        <w:rPr>
          <w:sz w:val="20"/>
        </w:rPr>
        <w:t xml:space="preserve"> </w:t>
      </w:r>
      <w:r w:rsidRPr="00704504">
        <w:rPr>
          <w:sz w:val="20"/>
        </w:rPr>
        <w:t xml:space="preserve">2) by assuming that (1) </w:t>
      </w:r>
      <w:proofErr w:type="gramStart"/>
      <w:r w:rsidRPr="00704504">
        <w:rPr>
          <w:sz w:val="20"/>
        </w:rPr>
        <w:t xml:space="preserve">for </w:t>
      </w:r>
      <w:proofErr w:type="gramEnd"/>
      <w:r w:rsidRPr="00704504">
        <w:rPr>
          <w:position w:val="-6"/>
          <w:sz w:val="20"/>
        </w:rPr>
        <w:object w:dxaOrig="859" w:dyaOrig="279">
          <v:shape id="_x0000_i1072" type="#_x0000_t75" style="width:42.45pt;height:14.3pt" o:ole="">
            <v:imagedata r:id="rId101" o:title=""/>
          </v:shape>
          <o:OLEObject Type="Embed" ProgID="Equation.3" ShapeID="_x0000_i1072" DrawAspect="Content" ObjectID="_1541490932" r:id="rId102"/>
        </w:object>
      </w:r>
      <w:r w:rsidRPr="00704504">
        <w:rPr>
          <w:sz w:val="20"/>
        </w:rPr>
        <w:t xml:space="preserve">, </w:t>
      </w:r>
      <w:r w:rsidRPr="00704504">
        <w:rPr>
          <w:position w:val="-16"/>
          <w:sz w:val="20"/>
        </w:rPr>
        <w:object w:dxaOrig="5480" w:dyaOrig="460">
          <v:shape id="_x0000_i1073" type="#_x0000_t75" style="width:247pt;height:23.35pt" o:ole="">
            <v:imagedata r:id="rId103" o:title=""/>
          </v:shape>
          <o:OLEObject Type="Embed" ProgID="Equation.3" ShapeID="_x0000_i1073" DrawAspect="Content" ObjectID="_1541490933" r:id="rId104"/>
        </w:object>
      </w:r>
    </w:p>
    <w:p w:rsidR="00F475F7" w:rsidRPr="00704504" w:rsidRDefault="00F475F7" w:rsidP="00704504">
      <w:pPr>
        <w:spacing w:line="360" w:lineRule="auto"/>
        <w:jc w:val="both"/>
        <w:rPr>
          <w:sz w:val="20"/>
        </w:rPr>
      </w:pPr>
      <w:r w:rsidRPr="00704504">
        <w:rPr>
          <w:sz w:val="20"/>
        </w:rPr>
        <w:t xml:space="preserve">with </w:t>
      </w:r>
      <w:r w:rsidRPr="00704504">
        <w:rPr>
          <w:position w:val="-10"/>
          <w:sz w:val="20"/>
        </w:rPr>
        <w:object w:dxaOrig="520" w:dyaOrig="320">
          <v:shape id="_x0000_i1074" type="#_x0000_t75" style="width:26.25pt;height:16.2pt" o:ole="">
            <v:imagedata r:id="rId105" o:title=""/>
          </v:shape>
          <o:OLEObject Type="Embed" ProgID="Equation.3" ShapeID="_x0000_i1074" DrawAspect="Content" ObjectID="_1541490934" r:id="rId106"/>
        </w:object>
      </w:r>
      <w:r w:rsidRPr="00704504">
        <w:rPr>
          <w:sz w:val="20"/>
        </w:rPr>
        <w:t xml:space="preserve"> a non-random positive definite matrix; (2) If </w:t>
      </w:r>
      <w:r w:rsidRPr="00704504">
        <w:rPr>
          <w:position w:val="-12"/>
          <w:sz w:val="20"/>
        </w:rPr>
        <w:object w:dxaOrig="1219" w:dyaOrig="360">
          <v:shape id="_x0000_i1075" type="#_x0000_t75" style="width:60.55pt;height:18.1pt" o:ole="">
            <v:imagedata r:id="rId107" o:title=""/>
          </v:shape>
          <o:OLEObject Type="Embed" ProgID="Equation.3" ShapeID="_x0000_i1075" DrawAspect="Content" ObjectID="_1541490935" r:id="rId108"/>
        </w:object>
      </w:r>
      <w:r w:rsidRPr="00704504">
        <w:rPr>
          <w:sz w:val="20"/>
        </w:rPr>
        <w:t xml:space="preserve"> (or Equation (1) is weakly stationary), then (a) </w:t>
      </w:r>
      <w:r w:rsidRPr="00704504">
        <w:rPr>
          <w:position w:val="-12"/>
          <w:sz w:val="20"/>
        </w:rPr>
        <w:object w:dxaOrig="1020" w:dyaOrig="360">
          <v:shape id="_x0000_i1076" type="#_x0000_t75" style="width:51pt;height:18.1pt" o:ole="">
            <v:imagedata r:id="rId109" o:title=""/>
          </v:shape>
          <o:OLEObject Type="Embed" ProgID="Equation.3" ShapeID="_x0000_i1076" DrawAspect="Content" ObjectID="_1541490936" r:id="rId110"/>
        </w:object>
      </w:r>
      <w:r w:rsidRPr="00704504">
        <w:rPr>
          <w:sz w:val="20"/>
        </w:rPr>
        <w:t xml:space="preserve"> forms a strongly mixing sequence with size -4k/(k-2) for space k&gt;2, (b) </w:t>
      </w:r>
      <w:r w:rsidRPr="00704504">
        <w:rPr>
          <w:position w:val="-12"/>
          <w:sz w:val="20"/>
        </w:rPr>
        <w:object w:dxaOrig="1200" w:dyaOrig="360">
          <v:shape id="_x0000_i1077" type="#_x0000_t75" style="width:60.55pt;height:18.1pt" o:ole="">
            <v:imagedata r:id="rId111" o:title=""/>
          </v:shape>
          <o:OLEObject Type="Embed" ProgID="Equation.3" ShapeID="_x0000_i1077" DrawAspect="Content" ObjectID="_1541490937" r:id="rId112"/>
        </w:object>
      </w:r>
      <w:r w:rsidRPr="00704504">
        <w:rPr>
          <w:sz w:val="20"/>
        </w:rPr>
        <w:t xml:space="preserve"> and </w:t>
      </w:r>
      <w:r w:rsidRPr="00704504">
        <w:rPr>
          <w:position w:val="-12"/>
          <w:sz w:val="20"/>
        </w:rPr>
        <w:object w:dxaOrig="1960" w:dyaOrig="360">
          <v:shape id="_x0000_i1078" type="#_x0000_t75" style="width:99.2pt;height:18.1pt" o:ole="">
            <v:imagedata r:id="rId113" o:title=""/>
          </v:shape>
          <o:OLEObject Type="Embed" ProgID="Equation.3" ShapeID="_x0000_i1078" DrawAspect="Content" ObjectID="_1541490938" r:id="rId114"/>
        </w:object>
      </w:r>
      <w:r w:rsidRPr="00704504">
        <w:rPr>
          <w:sz w:val="20"/>
        </w:rPr>
        <w:t xml:space="preserve"> for some </w:t>
      </w:r>
      <w:r w:rsidRPr="00704504">
        <w:rPr>
          <w:position w:val="-6"/>
          <w:sz w:val="20"/>
        </w:rPr>
        <w:object w:dxaOrig="580" w:dyaOrig="279">
          <v:shape id="_x0000_i1079" type="#_x0000_t75" style="width:29.55pt;height:14.3pt" o:ole="">
            <v:imagedata r:id="rId115" o:title=""/>
          </v:shape>
          <o:OLEObject Type="Embed" ProgID="Equation.3" ShapeID="_x0000_i1079" DrawAspect="Content" ObjectID="_1541490939" r:id="rId116"/>
        </w:object>
      </w:r>
      <w:r w:rsidRPr="00704504">
        <w:rPr>
          <w:sz w:val="20"/>
        </w:rPr>
        <w:t xml:space="preserve">, (c) Let </w:t>
      </w:r>
      <w:r w:rsidRPr="00704504">
        <w:rPr>
          <w:position w:val="-16"/>
          <w:sz w:val="20"/>
        </w:rPr>
        <w:object w:dxaOrig="1820" w:dyaOrig="460">
          <v:shape id="_x0000_i1080" type="#_x0000_t75" style="width:90.6pt;height:23.35pt" o:ole="">
            <v:imagedata r:id="rId117" o:title=""/>
          </v:shape>
          <o:OLEObject Type="Embed" ProgID="Equation.3" ShapeID="_x0000_i1080" DrawAspect="Content" ObjectID="_1541490940" r:id="rId118"/>
        </w:object>
      </w:r>
      <w:r w:rsidRPr="00704504">
        <w:rPr>
          <w:sz w:val="20"/>
        </w:rPr>
        <w:t xml:space="preserve"> for each </w:t>
      </w:r>
      <w:r w:rsidRPr="00704504">
        <w:rPr>
          <w:position w:val="-6"/>
          <w:sz w:val="20"/>
        </w:rPr>
        <w:object w:dxaOrig="660" w:dyaOrig="320">
          <v:shape id="_x0000_i1081" type="#_x0000_t75" style="width:32.9pt;height:16.2pt" o:ole="">
            <v:imagedata r:id="rId119" o:title=""/>
          </v:shape>
          <o:OLEObject Type="Embed" ProgID="Equation.3" ShapeID="_x0000_i1081" DrawAspect="Content" ObjectID="_1541490941" r:id="rId120"/>
        </w:object>
      </w:r>
      <w:r w:rsidRPr="00704504">
        <w:rPr>
          <w:sz w:val="20"/>
        </w:rPr>
        <w:t xml:space="preserve"> of length 1, </w:t>
      </w:r>
      <w:r w:rsidRPr="00704504">
        <w:rPr>
          <w:position w:val="-14"/>
          <w:sz w:val="20"/>
        </w:rPr>
        <w:object w:dxaOrig="2260" w:dyaOrig="380">
          <v:shape id="_x0000_i1082" type="#_x0000_t75" style="width:113pt;height:18.6pt" o:ole="">
            <v:imagedata r:id="rId121" o:title=""/>
          </v:shape>
          <o:OLEObject Type="Embed" ProgID="Equation.3" ShapeID="_x0000_i1082" DrawAspect="Content" ObjectID="_1541490942" r:id="rId122"/>
        </w:object>
      </w:r>
      <w:r w:rsidRPr="00704504">
        <w:rPr>
          <w:sz w:val="20"/>
        </w:rPr>
        <w:t xml:space="preserve"> for some function </w:t>
      </w:r>
      <w:r w:rsidRPr="00704504">
        <w:rPr>
          <w:position w:val="-10"/>
          <w:sz w:val="20"/>
        </w:rPr>
        <w:object w:dxaOrig="980" w:dyaOrig="320">
          <v:shape id="_x0000_i1083" type="#_x0000_t75" style="width:48.65pt;height:16.2pt" o:ole="">
            <v:imagedata r:id="rId123" o:title=""/>
          </v:shape>
          <o:OLEObject Type="Embed" ProgID="Equation.3" ShapeID="_x0000_i1083" DrawAspect="Content" ObjectID="_1541490943" r:id="rId124"/>
        </w:object>
      </w:r>
      <w:r w:rsidRPr="00704504">
        <w:rPr>
          <w:sz w:val="20"/>
        </w:rPr>
        <w:t xml:space="preserve">v as </w:t>
      </w:r>
      <w:r w:rsidRPr="00704504">
        <w:rPr>
          <w:position w:val="-10"/>
          <w:sz w:val="20"/>
        </w:rPr>
        <w:object w:dxaOrig="720" w:dyaOrig="260">
          <v:shape id="_x0000_i1084" type="#_x0000_t75" style="width:36.25pt;height:12.4pt" o:ole="">
            <v:imagedata r:id="rId125" o:title=""/>
          </v:shape>
          <o:OLEObject Type="Embed" ProgID="Equation.3" ShapeID="_x0000_i1084" DrawAspect="Content" ObjectID="_1541490944" r:id="rId126"/>
        </w:object>
      </w:r>
      <w:r w:rsidRPr="00704504">
        <w:rPr>
          <w:sz w:val="20"/>
        </w:rPr>
        <w:t xml:space="preserve"> (with </w:t>
      </w:r>
      <w:r w:rsidRPr="00704504">
        <w:rPr>
          <w:position w:val="-6"/>
          <w:sz w:val="20"/>
        </w:rPr>
        <w:object w:dxaOrig="480" w:dyaOrig="220">
          <v:shape id="_x0000_i1085" type="#_x0000_t75" style="width:23.85pt;height:11.45pt" o:ole="">
            <v:imagedata r:id="rId127" o:title=""/>
          </v:shape>
          <o:OLEObject Type="Embed" ProgID="Equation.3" ShapeID="_x0000_i1085" DrawAspect="Content" ObjectID="_1541490945" r:id="rId128"/>
        </w:object>
      </w:r>
      <w:r w:rsidRPr="00704504">
        <w:rPr>
          <w:sz w:val="20"/>
        </w:rPr>
        <w:t xml:space="preserve"> the inner product). (3) Assumption (2) holds with </w:t>
      </w:r>
      <w:r w:rsidRPr="00704504">
        <w:rPr>
          <w:position w:val="-12"/>
          <w:sz w:val="20"/>
        </w:rPr>
        <w:object w:dxaOrig="499" w:dyaOrig="360">
          <v:shape id="_x0000_i1086" type="#_x0000_t75" style="width:24.3pt;height:18.1pt" o:ole="">
            <v:imagedata r:id="rId129" o:title=""/>
          </v:shape>
          <o:OLEObject Type="Embed" ProgID="Equation.3" ShapeID="_x0000_i1086" DrawAspect="Content" ObjectID="_1541490946" r:id="rId130"/>
        </w:object>
      </w:r>
      <w:r w:rsidRPr="00704504">
        <w:rPr>
          <w:sz w:val="20"/>
        </w:rPr>
        <w:t xml:space="preserve"> replaced by </w:t>
      </w:r>
      <w:r w:rsidRPr="00704504">
        <w:rPr>
          <w:position w:val="-12"/>
          <w:sz w:val="20"/>
        </w:rPr>
        <w:object w:dxaOrig="240" w:dyaOrig="360">
          <v:shape id="_x0000_i1087" type="#_x0000_t75" style="width:12.4pt;height:18.1pt" o:ole="">
            <v:imagedata r:id="rId131" o:title=""/>
          </v:shape>
          <o:OLEObject Type="Embed" ProgID="Equation.3" ShapeID="_x0000_i1087" DrawAspect="Content" ObjectID="_1541490947" r:id="rId132"/>
        </w:object>
      </w:r>
      <w:proofErr w:type="gramStart"/>
      <w:r w:rsidRPr="00704504">
        <w:rPr>
          <w:sz w:val="20"/>
        </w:rPr>
        <w:t xml:space="preserve">or </w:t>
      </w:r>
      <w:proofErr w:type="gramEnd"/>
      <w:r w:rsidRPr="00704504">
        <w:rPr>
          <w:position w:val="-12"/>
          <w:sz w:val="20"/>
        </w:rPr>
        <w:object w:dxaOrig="760" w:dyaOrig="380">
          <v:shape id="_x0000_i1088" type="#_x0000_t75" style="width:38.6pt;height:18.6pt" o:ole="">
            <v:imagedata r:id="rId133" o:title=""/>
          </v:shape>
          <o:OLEObject Type="Embed" ProgID="Equation.3" ShapeID="_x0000_i1088" DrawAspect="Content" ObjectID="_1541490948" r:id="rId134"/>
        </w:object>
      </w:r>
      <w:r w:rsidRPr="00704504">
        <w:rPr>
          <w:sz w:val="20"/>
        </w:rPr>
        <w:t xml:space="preserve">, where </w:t>
      </w:r>
      <w:r w:rsidRPr="00704504">
        <w:rPr>
          <w:position w:val="-16"/>
          <w:sz w:val="20"/>
        </w:rPr>
        <w:object w:dxaOrig="2640" w:dyaOrig="460">
          <v:shape id="_x0000_i1089" type="#_x0000_t75" style="width:132.55pt;height:23.35pt" o:ole="">
            <v:imagedata r:id="rId135" o:title=""/>
          </v:shape>
          <o:OLEObject Type="Embed" ProgID="Equation.3" ShapeID="_x0000_i1089" DrawAspect="Content" ObjectID="_1541490949" r:id="rId136"/>
        </w:object>
      </w:r>
      <w:r w:rsidRPr="00704504">
        <w:rPr>
          <w:sz w:val="20"/>
        </w:rPr>
        <w:t>.</w:t>
      </w:r>
    </w:p>
    <w:p w:rsidR="00F475F7" w:rsidRPr="00704504" w:rsidRDefault="00F475F7" w:rsidP="00704504">
      <w:pPr>
        <w:spacing w:line="360" w:lineRule="auto"/>
        <w:jc w:val="both"/>
        <w:rPr>
          <w:sz w:val="20"/>
        </w:rPr>
      </w:pPr>
      <w:r w:rsidRPr="00704504">
        <w:rPr>
          <w:sz w:val="20"/>
        </w:rPr>
        <w:t>Based on these thr</w:t>
      </w:r>
      <w:r w:rsidR="00623D7B" w:rsidRPr="00704504">
        <w:rPr>
          <w:sz w:val="20"/>
        </w:rPr>
        <w:t xml:space="preserve">ee assumptions, Deng and Perron </w:t>
      </w:r>
      <w:r w:rsidR="00623D7B" w:rsidRPr="00704504">
        <w:rPr>
          <w:color w:val="FF0000"/>
          <w:sz w:val="20"/>
        </w:rPr>
        <w:t>[1</w:t>
      </w:r>
      <w:r w:rsidR="00C10360" w:rsidRPr="00704504">
        <w:rPr>
          <w:color w:val="FF0000"/>
          <w:sz w:val="20"/>
        </w:rPr>
        <w:t>9</w:t>
      </w:r>
      <w:r w:rsidR="00623D7B" w:rsidRPr="00704504">
        <w:rPr>
          <w:color w:val="FF0000"/>
          <w:sz w:val="20"/>
        </w:rPr>
        <w:t>]</w:t>
      </w:r>
      <w:r w:rsidR="00623D7B" w:rsidRPr="00704504">
        <w:rPr>
          <w:sz w:val="20"/>
        </w:rPr>
        <w:t xml:space="preserve"> </w:t>
      </w:r>
      <w:r w:rsidRPr="00704504">
        <w:rPr>
          <w:sz w:val="20"/>
        </w:rPr>
        <w:t>proposed and proved an adjusted CUSQ test, which is invariant to non-Normal errors, serial correlation and conditional heteroskedasticity, as below:</w:t>
      </w:r>
    </w:p>
    <w:p w:rsidR="00F475F7" w:rsidRPr="00704504" w:rsidRDefault="00F475F7" w:rsidP="00704504">
      <w:pPr>
        <w:spacing w:line="360" w:lineRule="auto"/>
        <w:jc w:val="both"/>
        <w:rPr>
          <w:sz w:val="20"/>
        </w:rPr>
      </w:pPr>
    </w:p>
    <w:p w:rsidR="00F475F7" w:rsidRPr="00704504" w:rsidRDefault="00F475F7" w:rsidP="00704504">
      <w:pPr>
        <w:spacing w:line="360" w:lineRule="auto"/>
        <w:jc w:val="both"/>
        <w:rPr>
          <w:sz w:val="20"/>
        </w:rPr>
      </w:pPr>
      <w:r w:rsidRPr="00704504">
        <w:rPr>
          <w:sz w:val="20"/>
        </w:rPr>
        <w:tab/>
      </w:r>
      <w:r w:rsidRPr="00704504">
        <w:rPr>
          <w:position w:val="-44"/>
          <w:sz w:val="20"/>
        </w:rPr>
        <w:object w:dxaOrig="5160" w:dyaOrig="1240">
          <v:shape id="_x0000_i1090" type="#_x0000_t75" style="width:257.95pt;height:62.45pt" o:ole="">
            <v:imagedata r:id="rId137" o:title=""/>
          </v:shape>
          <o:OLEObject Type="Embed" ProgID="Equation.3" ShapeID="_x0000_i1090" DrawAspect="Content" ObjectID="_1541490950" r:id="rId138"/>
        </w:object>
      </w:r>
      <w:r w:rsidRPr="00704504">
        <w:rPr>
          <w:sz w:val="20"/>
        </w:rPr>
        <w:tab/>
        <w:t>(A6)</w:t>
      </w:r>
    </w:p>
    <w:p w:rsidR="00F475F7" w:rsidRPr="00704504" w:rsidRDefault="00F475F7" w:rsidP="00704504">
      <w:pPr>
        <w:spacing w:line="360" w:lineRule="auto"/>
        <w:jc w:val="both"/>
        <w:rPr>
          <w:sz w:val="20"/>
        </w:rPr>
      </w:pPr>
      <w:proofErr w:type="gramStart"/>
      <w:r w:rsidRPr="00704504">
        <w:rPr>
          <w:sz w:val="20"/>
        </w:rPr>
        <w:t>with</w:t>
      </w:r>
      <w:proofErr w:type="gramEnd"/>
      <w:r w:rsidRPr="00704504">
        <w:rPr>
          <w:position w:val="-12"/>
          <w:sz w:val="20"/>
        </w:rPr>
        <w:object w:dxaOrig="1219" w:dyaOrig="380">
          <v:shape id="_x0000_i1091" type="#_x0000_t75" style="width:60.55pt;height:18.6pt" o:ole="">
            <v:imagedata r:id="rId139" o:title=""/>
          </v:shape>
          <o:OLEObject Type="Embed" ProgID="Equation.3" ShapeID="_x0000_i1091" DrawAspect="Content" ObjectID="_1541490951" r:id="rId140"/>
        </w:object>
      </w:r>
      <w:r w:rsidRPr="00704504">
        <w:rPr>
          <w:sz w:val="20"/>
        </w:rPr>
        <w:t xml:space="preserve"> and </w:t>
      </w:r>
      <w:r w:rsidRPr="00704504">
        <w:rPr>
          <w:position w:val="-16"/>
          <w:sz w:val="20"/>
        </w:rPr>
        <w:object w:dxaOrig="1600" w:dyaOrig="460">
          <v:shape id="_x0000_i1092" type="#_x0000_t75" style="width:80.1pt;height:23.35pt" o:ole="">
            <v:imagedata r:id="rId141" o:title=""/>
          </v:shape>
          <o:OLEObject Type="Embed" ProgID="Equation.3" ShapeID="_x0000_i1092" DrawAspect="Content" ObjectID="_1541490952" r:id="rId142"/>
        </w:object>
      </w:r>
      <w:r w:rsidRPr="00704504">
        <w:rPr>
          <w:sz w:val="20"/>
        </w:rPr>
        <w:t xml:space="preserve">. </w:t>
      </w:r>
      <w:r w:rsidRPr="00704504">
        <w:rPr>
          <w:position w:val="-12"/>
          <w:sz w:val="20"/>
        </w:rPr>
        <w:object w:dxaOrig="279" w:dyaOrig="380">
          <v:shape id="_x0000_i1093" type="#_x0000_t75" style="width:14.3pt;height:18.6pt" o:ole="">
            <v:imagedata r:id="rId143" o:title=""/>
          </v:shape>
          <o:OLEObject Type="Embed" ProgID="Equation.3" ShapeID="_x0000_i1093" DrawAspect="Content" ObjectID="_1541490953" r:id="rId144"/>
        </w:object>
      </w:r>
      <w:proofErr w:type="gramStart"/>
      <w:r w:rsidRPr="00704504">
        <w:rPr>
          <w:sz w:val="20"/>
        </w:rPr>
        <w:t>denotes</w:t>
      </w:r>
      <w:proofErr w:type="gramEnd"/>
      <w:r w:rsidRPr="00704504">
        <w:rPr>
          <w:sz w:val="20"/>
        </w:rPr>
        <w:t xml:space="preserve"> either the OLS (</w:t>
      </w:r>
      <w:r w:rsidRPr="00704504">
        <w:rPr>
          <w:position w:val="-6"/>
          <w:sz w:val="20"/>
        </w:rPr>
        <w:object w:dxaOrig="639" w:dyaOrig="320">
          <v:shape id="_x0000_i1094" type="#_x0000_t75" style="width:31.95pt;height:16.2pt" o:ole="">
            <v:imagedata r:id="rId145" o:title=""/>
          </v:shape>
          <o:OLEObject Type="Embed" ProgID="Equation.3" ShapeID="_x0000_i1094" DrawAspect="Content" ObjectID="_1541490954" r:id="rId146"/>
        </w:object>
      </w:r>
      <w:r w:rsidRPr="00704504">
        <w:rPr>
          <w:sz w:val="20"/>
        </w:rPr>
        <w:t>), or the recursive residuals (</w:t>
      </w:r>
      <w:r w:rsidRPr="00704504">
        <w:rPr>
          <w:position w:val="-6"/>
          <w:sz w:val="20"/>
        </w:rPr>
        <w:object w:dxaOrig="660" w:dyaOrig="320">
          <v:shape id="_x0000_i1095" type="#_x0000_t75" style="width:32.9pt;height:16.2pt" o:ole="">
            <v:imagedata r:id="rId147" o:title=""/>
          </v:shape>
          <o:OLEObject Type="Embed" ProgID="Equation.3" ShapeID="_x0000_i1095" DrawAspect="Content" ObjectID="_1541490955" r:id="rId148"/>
        </w:object>
      </w:r>
      <w:r w:rsidRPr="00704504">
        <w:rPr>
          <w:sz w:val="20"/>
        </w:rPr>
        <w:t xml:space="preserve">), and </w:t>
      </w:r>
      <w:r w:rsidRPr="00704504">
        <w:rPr>
          <w:position w:val="-10"/>
          <w:sz w:val="20"/>
        </w:rPr>
        <w:object w:dxaOrig="780" w:dyaOrig="320">
          <v:shape id="_x0000_i1096" type="#_x0000_t75" style="width:39.1pt;height:16.2pt" o:ole="">
            <v:imagedata r:id="rId149" o:title=""/>
          </v:shape>
          <o:OLEObject Type="Embed" ProgID="Equation.3" ShapeID="_x0000_i1096" DrawAspect="Content" ObjectID="_1541490956" r:id="rId150"/>
        </w:object>
      </w:r>
      <w:r w:rsidRPr="00704504">
        <w:rPr>
          <w:sz w:val="20"/>
        </w:rPr>
        <w:t xml:space="preserve"> is a weight function and </w:t>
      </w:r>
      <w:r w:rsidRPr="00704504">
        <w:rPr>
          <w:position w:val="-6"/>
          <w:sz w:val="20"/>
        </w:rPr>
        <w:object w:dxaOrig="260" w:dyaOrig="220">
          <v:shape id="_x0000_i1097" type="#_x0000_t75" style="width:12.4pt;height:11.45pt" o:ole="">
            <v:imagedata r:id="rId151" o:title=""/>
          </v:shape>
          <o:OLEObject Type="Embed" ProgID="Equation.3" ShapeID="_x0000_i1097" DrawAspect="Content" ObjectID="_1541490957" r:id="rId152"/>
        </w:object>
      </w:r>
      <w:r w:rsidRPr="00704504">
        <w:rPr>
          <w:sz w:val="20"/>
        </w:rPr>
        <w:t xml:space="preserve"> some bandwidth which can be elected using one of the many alternative ways th</w:t>
      </w:r>
      <w:r w:rsidR="00623D7B" w:rsidRPr="00704504">
        <w:rPr>
          <w:sz w:val="20"/>
        </w:rPr>
        <w:t xml:space="preserve">at has been proposed by Andrews </w:t>
      </w:r>
      <w:r w:rsidR="00623D7B" w:rsidRPr="00704504">
        <w:rPr>
          <w:color w:val="FF0000"/>
          <w:sz w:val="20"/>
        </w:rPr>
        <w:t>[1</w:t>
      </w:r>
      <w:r w:rsidR="00C10360" w:rsidRPr="00704504">
        <w:rPr>
          <w:color w:val="FF0000"/>
          <w:sz w:val="20"/>
        </w:rPr>
        <w:t>7</w:t>
      </w:r>
      <w:r w:rsidR="00623D7B" w:rsidRPr="00704504">
        <w:rPr>
          <w:color w:val="FF0000"/>
          <w:sz w:val="20"/>
        </w:rPr>
        <w:t>]</w:t>
      </w:r>
      <w:r w:rsidRPr="00704504">
        <w:rPr>
          <w:sz w:val="20"/>
        </w:rPr>
        <w:t xml:space="preserve">. Also the limit distribution </w:t>
      </w:r>
      <w:proofErr w:type="gramStart"/>
      <w:r w:rsidRPr="00704504">
        <w:rPr>
          <w:sz w:val="20"/>
        </w:rPr>
        <w:t xml:space="preserve">is </w:t>
      </w:r>
      <w:r w:rsidRPr="00704504">
        <w:rPr>
          <w:position w:val="-14"/>
          <w:sz w:val="20"/>
        </w:rPr>
        <w:object w:dxaOrig="1640" w:dyaOrig="380">
          <v:shape id="_x0000_i1098" type="#_x0000_t75" style="width:81.55pt;height:18.6pt" o:ole="">
            <v:imagedata r:id="rId153" o:title=""/>
          </v:shape>
          <o:OLEObject Type="Embed" ProgID="Equation.3" ShapeID="_x0000_i1098" DrawAspect="Content" ObjectID="_1541490958" r:id="rId154"/>
        </w:object>
      </w:r>
      <w:r w:rsidRPr="00704504">
        <w:rPr>
          <w:sz w:val="20"/>
        </w:rPr>
        <w:t xml:space="preserve"> , and the critical values at the 1 per cent, 5 per cent and 10 per cent are 1.63, 1.36 and 1.22, respectively. </w:t>
      </w:r>
    </w:p>
    <w:p w:rsidR="00F475F7" w:rsidRPr="00704504" w:rsidRDefault="00F475F7" w:rsidP="00704504">
      <w:pPr>
        <w:spacing w:line="360" w:lineRule="auto"/>
        <w:jc w:val="both"/>
        <w:rPr>
          <w:sz w:val="20"/>
        </w:rPr>
      </w:pPr>
      <w:r w:rsidRPr="00704504">
        <w:rPr>
          <w:sz w:val="20"/>
        </w:rPr>
        <w:t xml:space="preserve">Equations (A5) and (A6) are comparable in concept, since the denominator in both equations are the sum of the squared recursive residuals to time </w:t>
      </w:r>
      <w:r w:rsidRPr="00704504">
        <w:rPr>
          <w:position w:val="-6"/>
          <w:sz w:val="20"/>
        </w:rPr>
        <w:object w:dxaOrig="139" w:dyaOrig="240">
          <v:shape id="_x0000_i1099" type="#_x0000_t75" style="width:7.15pt;height:12.4pt" o:ole="">
            <v:imagedata r:id="rId155" o:title=""/>
          </v:shape>
          <o:OLEObject Type="Embed" ProgID="Equation.3" ShapeID="_x0000_i1099" DrawAspect="Content" ObjectID="_1541490959" r:id="rId156"/>
        </w:object>
      </w:r>
      <w:r w:rsidRPr="00704504">
        <w:rPr>
          <w:sz w:val="20"/>
        </w:rPr>
        <w:t xml:space="preserve"> and the numerator the sum of the squared recursive residuals over the entire observation period. However, the denominator and the numerator in Equation (A6) are adjusted for serial correlation, heteroskedasticity and a limited number of observations by using various weighting functions. Since the adjusted CUSQ index(defined in Equation (A6)) can be estimated independently of regression technique (either are cursive or OLS regression would be fine in this case) and immune to </w:t>
      </w:r>
      <w:proofErr w:type="spellStart"/>
      <w:r w:rsidRPr="00704504">
        <w:rPr>
          <w:sz w:val="20"/>
        </w:rPr>
        <w:t>endogeneity</w:t>
      </w:r>
      <w:proofErr w:type="spellEnd"/>
      <w:r w:rsidRPr="00704504">
        <w:rPr>
          <w:sz w:val="20"/>
        </w:rPr>
        <w:t xml:space="preserve"> between </w:t>
      </w:r>
      <w:proofErr w:type="spellStart"/>
      <w:r w:rsidRPr="00704504">
        <w:rPr>
          <w:sz w:val="20"/>
        </w:rPr>
        <w:t>regressors</w:t>
      </w:r>
      <w:proofErr w:type="spellEnd"/>
      <w:r w:rsidRPr="00704504">
        <w:rPr>
          <w:sz w:val="20"/>
        </w:rPr>
        <w:t xml:space="preserve"> and error terms, it provides a useful tool for identifying the structural break of time series. In addition, the adjusted CUSQ index can be used to identify more than one structural break at the same time since it adjusts the scale in denominator, which makes it superior to other methods in the structural analysis.</w:t>
      </w:r>
    </w:p>
    <w:p w:rsidR="00F475F7" w:rsidRPr="00D53241" w:rsidRDefault="00F475F7" w:rsidP="00704504">
      <w:pPr>
        <w:spacing w:line="360" w:lineRule="auto"/>
        <w:jc w:val="both"/>
        <w:rPr>
          <w:b/>
          <w:sz w:val="20"/>
        </w:rPr>
      </w:pPr>
      <w:r w:rsidRPr="00D53241">
        <w:rPr>
          <w:b/>
          <w:sz w:val="20"/>
        </w:rPr>
        <w:t>Estimation Strategy for Identifying Agriculture TFP Structural Change</w:t>
      </w:r>
    </w:p>
    <w:p w:rsidR="00F475F7" w:rsidRPr="00704504" w:rsidRDefault="00F475F7" w:rsidP="00704504">
      <w:pPr>
        <w:spacing w:line="360" w:lineRule="auto"/>
        <w:jc w:val="both"/>
        <w:rPr>
          <w:sz w:val="20"/>
        </w:rPr>
      </w:pPr>
    </w:p>
    <w:p w:rsidR="00F475F7" w:rsidRPr="00704504" w:rsidRDefault="00F475F7" w:rsidP="00704504">
      <w:pPr>
        <w:spacing w:line="360" w:lineRule="auto"/>
        <w:jc w:val="both"/>
        <w:rPr>
          <w:sz w:val="20"/>
        </w:rPr>
      </w:pPr>
      <w:r w:rsidRPr="00704504">
        <w:rPr>
          <w:sz w:val="20"/>
        </w:rPr>
        <w:lastRenderedPageBreak/>
        <w:t>To examine structural changes in broadacre TFP in Australia and its determinants, we adopted a multi-step testing procedure. The first step was to regress the logarithm of estimated broadacre TFP on a time trend (i.e. year), and use the residuals obtained from the regression to calculate the adjusted CUSQ index. The regression function can be written as:</w:t>
      </w:r>
    </w:p>
    <w:p w:rsidR="00F475F7" w:rsidRPr="00704504" w:rsidRDefault="00F475F7" w:rsidP="00704504">
      <w:pPr>
        <w:spacing w:line="360" w:lineRule="auto"/>
        <w:jc w:val="both"/>
        <w:rPr>
          <w:sz w:val="20"/>
        </w:rPr>
      </w:pPr>
      <w:r w:rsidRPr="00704504">
        <w:rPr>
          <w:position w:val="-12"/>
          <w:sz w:val="20"/>
        </w:rPr>
        <w:object w:dxaOrig="2340" w:dyaOrig="360">
          <v:shape id="_x0000_i1100" type="#_x0000_t75" style="width:116.8pt;height:18.1pt" o:ole="">
            <v:imagedata r:id="rId157" o:title=""/>
          </v:shape>
          <o:OLEObject Type="Embed" ProgID="Equation.3" ShapeID="_x0000_i1100" DrawAspect="Content" ObjectID="_1541490960" r:id="rId158"/>
        </w:object>
      </w:r>
      <w:r w:rsidRPr="00704504">
        <w:rPr>
          <w:sz w:val="20"/>
        </w:rPr>
        <w:tab/>
      </w:r>
      <w:r w:rsidRPr="00704504">
        <w:rPr>
          <w:sz w:val="20"/>
        </w:rPr>
        <w:tab/>
      </w:r>
      <w:r w:rsidRPr="00704504">
        <w:rPr>
          <w:sz w:val="20"/>
        </w:rPr>
        <w:tab/>
      </w:r>
      <w:r w:rsidRPr="00704504">
        <w:rPr>
          <w:sz w:val="20"/>
        </w:rPr>
        <w:tab/>
      </w:r>
      <w:r w:rsidRPr="00704504">
        <w:rPr>
          <w:sz w:val="20"/>
        </w:rPr>
        <w:tab/>
        <w:t>(A8)</w:t>
      </w:r>
    </w:p>
    <w:p w:rsidR="00F475F7" w:rsidRPr="00704504" w:rsidRDefault="00D53241" w:rsidP="00704504">
      <w:pPr>
        <w:spacing w:line="360" w:lineRule="auto"/>
        <w:jc w:val="both"/>
        <w:rPr>
          <w:sz w:val="20"/>
        </w:rPr>
      </w:pPr>
      <w:r w:rsidRPr="00704504">
        <w:rPr>
          <w:sz w:val="20"/>
        </w:rPr>
        <w:t>W</w:t>
      </w:r>
      <w:r w:rsidR="00F475F7" w:rsidRPr="00704504">
        <w:rPr>
          <w:sz w:val="20"/>
        </w:rPr>
        <w:t>here</w:t>
      </w:r>
      <w:r>
        <w:rPr>
          <w:sz w:val="20"/>
        </w:rPr>
        <w:t xml:space="preserve"> </w:t>
      </w:r>
      <w:r w:rsidR="00F475F7" w:rsidRPr="00704504">
        <w:rPr>
          <w:position w:val="-12"/>
          <w:sz w:val="20"/>
        </w:rPr>
        <w:object w:dxaOrig="900" w:dyaOrig="360">
          <v:shape id="_x0000_i1101" type="#_x0000_t75" style="width:44.8pt;height:18.1pt" o:ole="">
            <v:imagedata r:id="rId159" o:title=""/>
          </v:shape>
          <o:OLEObject Type="Embed" ProgID="Equation.3" ShapeID="_x0000_i1101" DrawAspect="Content" ObjectID="_1541490961" r:id="rId160"/>
        </w:object>
      </w:r>
      <w:r w:rsidR="00F475F7" w:rsidRPr="00704504">
        <w:rPr>
          <w:sz w:val="20"/>
        </w:rPr>
        <w:t xml:space="preserve"> is the logarithm of broadacre TFP at </w:t>
      </w:r>
      <w:proofErr w:type="gramStart"/>
      <w:r w:rsidR="00F475F7" w:rsidRPr="00704504">
        <w:rPr>
          <w:sz w:val="20"/>
        </w:rPr>
        <w:t xml:space="preserve">time </w:t>
      </w:r>
      <w:proofErr w:type="gramEnd"/>
      <w:r w:rsidR="00F475F7" w:rsidRPr="00704504">
        <w:rPr>
          <w:position w:val="-6"/>
          <w:sz w:val="20"/>
        </w:rPr>
        <w:object w:dxaOrig="139" w:dyaOrig="240">
          <v:shape id="_x0000_i1102" type="#_x0000_t75" style="width:7.15pt;height:12.4pt" o:ole="">
            <v:imagedata r:id="rId161" o:title=""/>
          </v:shape>
          <o:OLEObject Type="Embed" ProgID="Equation.3" ShapeID="_x0000_i1102" DrawAspect="Content" ObjectID="_1541490962" r:id="rId162"/>
        </w:object>
      </w:r>
      <w:r w:rsidR="00F475F7" w:rsidRPr="00704504">
        <w:rPr>
          <w:sz w:val="20"/>
        </w:rPr>
        <w:t xml:space="preserve">, and </w:t>
      </w:r>
      <w:r w:rsidR="00F475F7" w:rsidRPr="00704504">
        <w:rPr>
          <w:position w:val="-12"/>
          <w:sz w:val="20"/>
        </w:rPr>
        <w:object w:dxaOrig="240" w:dyaOrig="360">
          <v:shape id="_x0000_i1103" type="#_x0000_t75" style="width:12.4pt;height:18.1pt" o:ole="">
            <v:imagedata r:id="rId163" o:title=""/>
          </v:shape>
          <o:OLEObject Type="Embed" ProgID="Equation.3" ShapeID="_x0000_i1103" DrawAspect="Content" ObjectID="_1541490963" r:id="rId164"/>
        </w:object>
      </w:r>
      <w:r w:rsidR="00F475F7" w:rsidRPr="00704504">
        <w:rPr>
          <w:sz w:val="20"/>
        </w:rPr>
        <w:t xml:space="preserve"> is a time variable.</w:t>
      </w:r>
    </w:p>
    <w:p w:rsidR="00F475F7" w:rsidRPr="00704504" w:rsidRDefault="00F475F7" w:rsidP="00704504">
      <w:pPr>
        <w:spacing w:line="360" w:lineRule="auto"/>
        <w:jc w:val="both"/>
        <w:rPr>
          <w:sz w:val="20"/>
        </w:rPr>
      </w:pPr>
      <w:r w:rsidRPr="00704504">
        <w:rPr>
          <w:sz w:val="20"/>
        </w:rPr>
        <w:t>The second step is to incorporate climate and a knowledge stock, representing technologies available to farmers, into the OLS regression and re-calculate the adjusted CUSQ index. The regression function can be written as:</w:t>
      </w:r>
    </w:p>
    <w:p w:rsidR="00F475F7" w:rsidRPr="00704504" w:rsidRDefault="00F475F7" w:rsidP="00704504">
      <w:pPr>
        <w:spacing w:line="360" w:lineRule="auto"/>
        <w:jc w:val="both"/>
        <w:rPr>
          <w:sz w:val="20"/>
        </w:rPr>
      </w:pPr>
      <w:r w:rsidRPr="00704504">
        <w:rPr>
          <w:sz w:val="20"/>
        </w:rPr>
        <w:tab/>
      </w:r>
      <w:r w:rsidRPr="00704504">
        <w:rPr>
          <w:sz w:val="20"/>
        </w:rPr>
        <w:tab/>
      </w:r>
      <w:r w:rsidRPr="00704504">
        <w:rPr>
          <w:position w:val="-12"/>
          <w:sz w:val="20"/>
        </w:rPr>
        <w:object w:dxaOrig="4300" w:dyaOrig="380">
          <v:shape id="_x0000_i1104" type="#_x0000_t75" style="width:215.5pt;height:18.6pt" o:ole="">
            <v:imagedata r:id="rId165" o:title=""/>
          </v:shape>
          <o:OLEObject Type="Embed" ProgID="Equation.3" ShapeID="_x0000_i1104" DrawAspect="Content" ObjectID="_1541490964" r:id="rId166"/>
        </w:object>
      </w:r>
      <w:r w:rsidRPr="00704504">
        <w:rPr>
          <w:sz w:val="20"/>
        </w:rPr>
        <w:tab/>
      </w:r>
      <w:r w:rsidRPr="00704504">
        <w:rPr>
          <w:sz w:val="20"/>
        </w:rPr>
        <w:tab/>
      </w:r>
      <w:r w:rsidRPr="00704504">
        <w:rPr>
          <w:sz w:val="20"/>
        </w:rPr>
        <w:tab/>
        <w:t>(A9)</w:t>
      </w:r>
    </w:p>
    <w:p w:rsidR="00F475F7" w:rsidRPr="00704504" w:rsidRDefault="00F475F7" w:rsidP="00704504">
      <w:pPr>
        <w:spacing w:line="360" w:lineRule="auto"/>
        <w:jc w:val="both"/>
        <w:rPr>
          <w:sz w:val="20"/>
        </w:rPr>
      </w:pPr>
      <w:r w:rsidRPr="00704504">
        <w:rPr>
          <w:sz w:val="20"/>
        </w:rPr>
        <w:t>where</w:t>
      </w:r>
      <w:r w:rsidRPr="00704504">
        <w:rPr>
          <w:position w:val="-12"/>
          <w:sz w:val="20"/>
        </w:rPr>
        <w:object w:dxaOrig="520" w:dyaOrig="360">
          <v:shape id="_x0000_i1105" type="#_x0000_t75" style="width:26.25pt;height:18.1pt" o:ole="">
            <v:imagedata r:id="rId167" o:title=""/>
          </v:shape>
          <o:OLEObject Type="Embed" ProgID="Equation.3" ShapeID="_x0000_i1105" DrawAspect="Content" ObjectID="_1541490965" r:id="rId168"/>
        </w:object>
      </w:r>
      <w:r w:rsidRPr="00704504">
        <w:rPr>
          <w:sz w:val="20"/>
        </w:rPr>
        <w:t xml:space="preserve"> is the climate variable (approximated by using the water stress index for the cropping industry), and </w:t>
      </w:r>
      <w:r w:rsidRPr="00704504">
        <w:rPr>
          <w:position w:val="-12"/>
          <w:sz w:val="20"/>
        </w:rPr>
        <w:object w:dxaOrig="540" w:dyaOrig="380">
          <v:shape id="_x0000_i1106" type="#_x0000_t75" style="width:27.2pt;height:18.6pt" o:ole="">
            <v:imagedata r:id="rId169" o:title=""/>
          </v:shape>
          <o:OLEObject Type="Embed" ProgID="Equation.3" ShapeID="_x0000_i1106" DrawAspect="Content" ObjectID="_1541490966" r:id="rId170"/>
        </w:object>
      </w:r>
      <w:r w:rsidRPr="00704504">
        <w:rPr>
          <w:sz w:val="20"/>
        </w:rPr>
        <w:t>(approximated as the weighted sum of public investment in agricultural R&amp;D where</w:t>
      </w:r>
      <w:r w:rsidRPr="00704504">
        <w:rPr>
          <w:position w:val="-6"/>
          <w:sz w:val="20"/>
        </w:rPr>
        <w:object w:dxaOrig="139" w:dyaOrig="260">
          <v:shape id="_x0000_i1107" type="#_x0000_t75" style="width:7.15pt;height:12.4pt" o:ole="">
            <v:imagedata r:id="rId171" o:title=""/>
          </v:shape>
          <o:OLEObject Type="Embed" ProgID="Equation.3" ShapeID="_x0000_i1107" DrawAspect="Content" ObjectID="_1541490967" r:id="rId172"/>
        </w:object>
      </w:r>
      <w:r w:rsidRPr="00704504">
        <w:rPr>
          <w:sz w:val="20"/>
        </w:rPr>
        <w:t xml:space="preserve"> can be 35 or 16 representing  different time lags over hwihc new technologies become available and used by farmers) is the knowledge stock. Since there is little known about the length of lags between research and adoption by farmers and about the shape of the research lag p</w:t>
      </w:r>
      <w:r w:rsidR="00623D7B" w:rsidRPr="00704504">
        <w:rPr>
          <w:sz w:val="20"/>
        </w:rPr>
        <w:t xml:space="preserve">rofile, we have followed Mullen </w:t>
      </w:r>
      <w:r w:rsidR="00623D7B" w:rsidRPr="00704504">
        <w:rPr>
          <w:color w:val="FF0000"/>
          <w:sz w:val="20"/>
        </w:rPr>
        <w:t>[4]</w:t>
      </w:r>
      <w:r w:rsidR="00623D7B" w:rsidRPr="00704504">
        <w:rPr>
          <w:sz w:val="20"/>
        </w:rPr>
        <w:t xml:space="preserve"> </w:t>
      </w:r>
      <w:r w:rsidRPr="00704504">
        <w:rPr>
          <w:sz w:val="20"/>
        </w:rPr>
        <w:t xml:space="preserve">in testing two alternative knowledge stock variables. Comparing results obtained from the first and second steps shows the extent to which climate change and agriculture R&amp;D investments have affected the stability of agriculture productivity. </w:t>
      </w:r>
    </w:p>
    <w:p w:rsidR="00F475F7" w:rsidRPr="00704504" w:rsidRDefault="00F475F7" w:rsidP="00704504">
      <w:pPr>
        <w:spacing w:line="360" w:lineRule="auto"/>
        <w:jc w:val="both"/>
        <w:rPr>
          <w:sz w:val="20"/>
        </w:rPr>
      </w:pPr>
      <w:r w:rsidRPr="00704504">
        <w:rPr>
          <w:sz w:val="20"/>
        </w:rPr>
        <w:t>The third step is to incorporate education and terms of trade variables into the structural break analysis so that the impact of these factors on the stability of productivity growth could be examined. The regression function can be written as:</w:t>
      </w:r>
    </w:p>
    <w:p w:rsidR="00F475F7" w:rsidRPr="00704504" w:rsidRDefault="00F475F7" w:rsidP="00704504">
      <w:pPr>
        <w:spacing w:line="360" w:lineRule="auto"/>
        <w:jc w:val="both"/>
        <w:rPr>
          <w:sz w:val="20"/>
        </w:rPr>
      </w:pPr>
      <w:r w:rsidRPr="00704504">
        <w:rPr>
          <w:position w:val="-12"/>
          <w:sz w:val="20"/>
        </w:rPr>
        <w:object w:dxaOrig="6360" w:dyaOrig="380">
          <v:shape id="_x0000_i1108" type="#_x0000_t75" style="width:288.95pt;height:20.05pt" o:ole="">
            <v:imagedata r:id="rId173" o:title=""/>
          </v:shape>
          <o:OLEObject Type="Embed" ProgID="Equation.3" ShapeID="_x0000_i1108" DrawAspect="Content" ObjectID="_1541490968" r:id="rId174"/>
        </w:object>
      </w:r>
    </w:p>
    <w:p w:rsidR="00F475F7" w:rsidRPr="00704504" w:rsidRDefault="00F475F7" w:rsidP="00704504">
      <w:pPr>
        <w:spacing w:line="360" w:lineRule="auto"/>
        <w:jc w:val="both"/>
        <w:rPr>
          <w:sz w:val="20"/>
        </w:rPr>
      </w:pPr>
      <w:proofErr w:type="gramStart"/>
      <w:r w:rsidRPr="00704504">
        <w:rPr>
          <w:sz w:val="20"/>
        </w:rPr>
        <w:t>where</w:t>
      </w:r>
      <w:proofErr w:type="gramEnd"/>
      <w:r w:rsidRPr="00704504">
        <w:rPr>
          <w:position w:val="-12"/>
          <w:sz w:val="20"/>
        </w:rPr>
        <w:object w:dxaOrig="580" w:dyaOrig="360">
          <v:shape id="_x0000_i1109" type="#_x0000_t75" style="width:29.55pt;height:18.1pt" o:ole="">
            <v:imagedata r:id="rId175" o:title=""/>
          </v:shape>
          <o:OLEObject Type="Embed" ProgID="Equation.3" ShapeID="_x0000_i1109" DrawAspect="Content" ObjectID="_1541490969" r:id="rId176"/>
        </w:object>
      </w:r>
      <w:r w:rsidRPr="00704504">
        <w:rPr>
          <w:sz w:val="20"/>
        </w:rPr>
        <w:t xml:space="preserve"> is the education index, which is defined as the ratio of school attendance to the total population aged 4-19; and </w:t>
      </w:r>
      <w:r w:rsidRPr="00704504">
        <w:rPr>
          <w:position w:val="-12"/>
          <w:sz w:val="20"/>
        </w:rPr>
        <w:object w:dxaOrig="600" w:dyaOrig="360">
          <v:shape id="_x0000_i1110" type="#_x0000_t75" style="width:30.05pt;height:18.1pt" o:ole="">
            <v:imagedata r:id="rId177" o:title=""/>
          </v:shape>
          <o:OLEObject Type="Embed" ProgID="Equation.3" ShapeID="_x0000_i1110" DrawAspect="Content" ObjectID="_1541490970" r:id="rId178"/>
        </w:object>
      </w:r>
      <w:r w:rsidRPr="00704504">
        <w:rPr>
          <w:sz w:val="20"/>
        </w:rPr>
        <w:t xml:space="preserve"> is the logarithm of terms of trade for Australian broadacre agriculture.  </w:t>
      </w:r>
    </w:p>
    <w:p w:rsidR="00F475F7" w:rsidRPr="00704504" w:rsidRDefault="00F475F7" w:rsidP="00704504">
      <w:pPr>
        <w:spacing w:line="360" w:lineRule="auto"/>
        <w:jc w:val="both"/>
        <w:rPr>
          <w:sz w:val="20"/>
        </w:rPr>
      </w:pPr>
      <w:r w:rsidRPr="00704504">
        <w:rPr>
          <w:sz w:val="20"/>
        </w:rPr>
        <w:t>Finally, we conduct a similar testing regime using industry-level and state-level data (as a sensitivity test) to assess the robustness of our results obtained from the aggregate data. However, due to data availability, the industry-level and state-level studies are only assessed using the first step (Equation (8)).</w:t>
      </w:r>
    </w:p>
    <w:p w:rsidR="00F475F7" w:rsidRPr="00704504" w:rsidRDefault="00D53241" w:rsidP="00704504">
      <w:pPr>
        <w:spacing w:line="360" w:lineRule="auto"/>
        <w:jc w:val="both"/>
        <w:rPr>
          <w:sz w:val="20"/>
        </w:rPr>
      </w:pPr>
      <w:r w:rsidRPr="00D53241">
        <w:rPr>
          <w:b/>
          <w:sz w:val="20"/>
        </w:rPr>
        <w:t>Table A1:</w:t>
      </w:r>
      <w:r w:rsidR="00F475F7" w:rsidRPr="00704504">
        <w:rPr>
          <w:sz w:val="20"/>
        </w:rPr>
        <w:t xml:space="preserve"> OLS Estimation Results for the CUSQ procedure</w:t>
      </w:r>
      <w:r>
        <w:rPr>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8"/>
        <w:gridCol w:w="534"/>
        <w:gridCol w:w="602"/>
        <w:gridCol w:w="881"/>
        <w:gridCol w:w="1118"/>
        <w:gridCol w:w="1330"/>
        <w:gridCol w:w="881"/>
        <w:gridCol w:w="1118"/>
        <w:gridCol w:w="1330"/>
      </w:tblGrid>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p>
        </w:tc>
        <w:tc>
          <w:tcPr>
            <w:tcW w:w="0" w:type="auto"/>
            <w:gridSpan w:val="2"/>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Base model</w:t>
            </w:r>
          </w:p>
        </w:tc>
        <w:tc>
          <w:tcPr>
            <w:tcW w:w="0" w:type="auto"/>
            <w:gridSpan w:val="3"/>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R&amp;D 35 lag</w:t>
            </w:r>
          </w:p>
        </w:tc>
        <w:tc>
          <w:tcPr>
            <w:tcW w:w="0" w:type="auto"/>
            <w:gridSpan w:val="3"/>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R&amp;D 16 lag</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time</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 xml:space="preserve">time, </w:t>
            </w:r>
            <w:proofErr w:type="spellStart"/>
            <w:r w:rsidRPr="00D53241">
              <w:rPr>
                <w:rFonts w:ascii="Arial" w:hAnsi="Arial" w:cs="Arial"/>
                <w:sz w:val="14"/>
                <w:szCs w:val="14"/>
              </w:rPr>
              <w:t>lnsis</w:t>
            </w:r>
            <w:proofErr w:type="spellEnd"/>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 xml:space="preserve">time, </w:t>
            </w:r>
            <w:proofErr w:type="spellStart"/>
            <w:r w:rsidRPr="00D53241">
              <w:rPr>
                <w:rFonts w:ascii="Arial" w:hAnsi="Arial" w:cs="Arial"/>
                <w:sz w:val="14"/>
                <w:szCs w:val="14"/>
              </w:rPr>
              <w:t>lnsis</w:t>
            </w:r>
            <w:proofErr w:type="spellEnd"/>
            <w:r w:rsidRPr="00D53241">
              <w:rPr>
                <w:rFonts w:ascii="Arial" w:hAnsi="Arial" w:cs="Arial"/>
                <w:sz w:val="14"/>
                <w:szCs w:val="14"/>
              </w:rPr>
              <w:t>, r&amp;d32</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 xml:space="preserve">time, </w:t>
            </w:r>
            <w:proofErr w:type="spellStart"/>
            <w:r w:rsidRPr="00D53241">
              <w:rPr>
                <w:rFonts w:ascii="Arial" w:hAnsi="Arial" w:cs="Arial"/>
                <w:sz w:val="14"/>
                <w:szCs w:val="14"/>
              </w:rPr>
              <w:t>lnsis</w:t>
            </w:r>
            <w:proofErr w:type="spellEnd"/>
            <w:r w:rsidRPr="00D53241">
              <w:rPr>
                <w:rFonts w:ascii="Arial" w:hAnsi="Arial" w:cs="Arial"/>
                <w:sz w:val="14"/>
                <w:szCs w:val="14"/>
              </w:rPr>
              <w:t xml:space="preserve">, r&amp;d32, </w:t>
            </w:r>
            <w:proofErr w:type="spellStart"/>
            <w:r w:rsidRPr="00D53241">
              <w:rPr>
                <w:rFonts w:ascii="Arial" w:hAnsi="Arial" w:cs="Arial"/>
                <w:sz w:val="14"/>
                <w:szCs w:val="14"/>
              </w:rPr>
              <w:t>educ</w:t>
            </w:r>
            <w:proofErr w:type="spellEnd"/>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 xml:space="preserve">time, </w:t>
            </w:r>
            <w:proofErr w:type="spellStart"/>
            <w:r w:rsidRPr="00D53241">
              <w:rPr>
                <w:rFonts w:ascii="Arial" w:hAnsi="Arial" w:cs="Arial"/>
                <w:sz w:val="14"/>
                <w:szCs w:val="14"/>
              </w:rPr>
              <w:t>lnsis</w:t>
            </w:r>
            <w:proofErr w:type="spellEnd"/>
            <w:r w:rsidRPr="00D53241">
              <w:rPr>
                <w:rFonts w:ascii="Arial" w:hAnsi="Arial" w:cs="Arial"/>
                <w:sz w:val="14"/>
                <w:szCs w:val="14"/>
              </w:rPr>
              <w:t xml:space="preserve">, r&amp;d32, </w:t>
            </w:r>
            <w:proofErr w:type="spellStart"/>
            <w:r w:rsidRPr="00D53241">
              <w:rPr>
                <w:rFonts w:ascii="Arial" w:hAnsi="Arial" w:cs="Arial"/>
                <w:sz w:val="14"/>
                <w:szCs w:val="14"/>
              </w:rPr>
              <w:t>educ</w:t>
            </w:r>
            <w:proofErr w:type="spellEnd"/>
            <w:r w:rsidRPr="00D53241">
              <w:rPr>
                <w:rFonts w:ascii="Arial" w:hAnsi="Arial" w:cs="Arial"/>
                <w:sz w:val="14"/>
                <w:szCs w:val="14"/>
              </w:rPr>
              <w:t xml:space="preserve">, </w:t>
            </w:r>
            <w:proofErr w:type="spellStart"/>
            <w:r w:rsidRPr="00D53241">
              <w:rPr>
                <w:rFonts w:ascii="Arial" w:hAnsi="Arial" w:cs="Arial"/>
                <w:sz w:val="14"/>
                <w:szCs w:val="14"/>
              </w:rPr>
              <w:t>lntot</w:t>
            </w:r>
            <w:proofErr w:type="spellEnd"/>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 xml:space="preserve">time, </w:t>
            </w:r>
            <w:proofErr w:type="spellStart"/>
            <w:r w:rsidRPr="00D53241">
              <w:rPr>
                <w:rFonts w:ascii="Arial" w:hAnsi="Arial" w:cs="Arial"/>
                <w:sz w:val="14"/>
                <w:szCs w:val="14"/>
              </w:rPr>
              <w:t>lnsis</w:t>
            </w:r>
            <w:proofErr w:type="spellEnd"/>
            <w:r w:rsidRPr="00D53241">
              <w:rPr>
                <w:rFonts w:ascii="Arial" w:hAnsi="Arial" w:cs="Arial"/>
                <w:sz w:val="14"/>
                <w:szCs w:val="14"/>
              </w:rPr>
              <w:t>, r&amp;d16</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 xml:space="preserve">time, </w:t>
            </w:r>
            <w:proofErr w:type="spellStart"/>
            <w:r w:rsidRPr="00D53241">
              <w:rPr>
                <w:rFonts w:ascii="Arial" w:hAnsi="Arial" w:cs="Arial"/>
                <w:sz w:val="14"/>
                <w:szCs w:val="14"/>
              </w:rPr>
              <w:t>lnsis</w:t>
            </w:r>
            <w:proofErr w:type="spellEnd"/>
            <w:r w:rsidRPr="00D53241">
              <w:rPr>
                <w:rFonts w:ascii="Arial" w:hAnsi="Arial" w:cs="Arial"/>
                <w:sz w:val="14"/>
                <w:szCs w:val="14"/>
              </w:rPr>
              <w:t xml:space="preserve">, r&amp;d16, </w:t>
            </w:r>
            <w:proofErr w:type="spellStart"/>
            <w:r w:rsidRPr="00D53241">
              <w:rPr>
                <w:rFonts w:ascii="Arial" w:hAnsi="Arial" w:cs="Arial"/>
                <w:sz w:val="14"/>
                <w:szCs w:val="14"/>
              </w:rPr>
              <w:t>educ</w:t>
            </w:r>
            <w:proofErr w:type="spellEnd"/>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 xml:space="preserve">time, </w:t>
            </w:r>
            <w:proofErr w:type="spellStart"/>
            <w:r w:rsidRPr="00D53241">
              <w:rPr>
                <w:rFonts w:ascii="Arial" w:hAnsi="Arial" w:cs="Arial"/>
                <w:sz w:val="14"/>
                <w:szCs w:val="14"/>
              </w:rPr>
              <w:t>lnsis</w:t>
            </w:r>
            <w:proofErr w:type="spellEnd"/>
            <w:r w:rsidRPr="00D53241">
              <w:rPr>
                <w:rFonts w:ascii="Arial" w:hAnsi="Arial" w:cs="Arial"/>
                <w:sz w:val="14"/>
                <w:szCs w:val="14"/>
              </w:rPr>
              <w:t xml:space="preserve">, r&amp;d16, </w:t>
            </w:r>
            <w:proofErr w:type="spellStart"/>
            <w:r w:rsidRPr="00D53241">
              <w:rPr>
                <w:rFonts w:ascii="Arial" w:hAnsi="Arial" w:cs="Arial"/>
                <w:sz w:val="14"/>
                <w:szCs w:val="14"/>
              </w:rPr>
              <w:t>educ</w:t>
            </w:r>
            <w:proofErr w:type="spellEnd"/>
            <w:r w:rsidRPr="00D53241">
              <w:rPr>
                <w:rFonts w:ascii="Arial" w:hAnsi="Arial" w:cs="Arial"/>
                <w:sz w:val="14"/>
                <w:szCs w:val="14"/>
              </w:rPr>
              <w:t xml:space="preserve">, </w:t>
            </w:r>
            <w:proofErr w:type="spellStart"/>
            <w:r w:rsidRPr="00D53241">
              <w:rPr>
                <w:rFonts w:ascii="Arial" w:hAnsi="Arial" w:cs="Arial"/>
                <w:sz w:val="14"/>
                <w:szCs w:val="14"/>
              </w:rPr>
              <w:t>lntot</w:t>
            </w:r>
            <w:proofErr w:type="spellEnd"/>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Year</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0.020***</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0.019***</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0.008***</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0.004</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0.012***</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0.010***</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0.009***</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(0.001)</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(0.001)</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(0.002)</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(0.003)</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(0.003)</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(0.002)</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(0.002)</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(0.003)</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vertAlign w:val="subscript"/>
              </w:rPr>
            </w:pPr>
            <w:proofErr w:type="spellStart"/>
            <w:r w:rsidRPr="00D53241">
              <w:rPr>
                <w:rFonts w:ascii="Arial" w:hAnsi="Arial" w:cs="Arial"/>
                <w:sz w:val="14"/>
                <w:szCs w:val="14"/>
              </w:rPr>
              <w:t>lnW</w:t>
            </w:r>
            <w:r w:rsidRPr="00D53241">
              <w:rPr>
                <w:rFonts w:ascii="Arial" w:hAnsi="Arial" w:cs="Arial"/>
                <w:sz w:val="14"/>
                <w:szCs w:val="14"/>
                <w:vertAlign w:val="subscript"/>
              </w:rPr>
              <w:t>t</w:t>
            </w:r>
            <w:proofErr w:type="spellEnd"/>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0.277***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0.279***</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0.276***</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0.271***</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0.287***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0.284***</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0.262***</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(0.052)</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(0.043)</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(0.044)</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(0.042)</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(0.043)</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(0.043)</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(0.042)</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vertAlign w:val="subscript"/>
              </w:rPr>
            </w:pPr>
            <w:r w:rsidRPr="00D53241">
              <w:rPr>
                <w:rFonts w:ascii="Arial" w:hAnsi="Arial" w:cs="Arial"/>
                <w:sz w:val="14"/>
                <w:szCs w:val="14"/>
              </w:rPr>
              <w:t>K</w:t>
            </w:r>
            <w:r w:rsidRPr="00D53241">
              <w:rPr>
                <w:rFonts w:ascii="Arial" w:hAnsi="Arial" w:cs="Arial"/>
                <w:sz w:val="14"/>
                <w:szCs w:val="14"/>
                <w:vertAlign w:val="subscript"/>
              </w:rPr>
              <w:t>t</w:t>
            </w:r>
            <w:r w:rsidRPr="00D53241">
              <w:rPr>
                <w:rFonts w:ascii="Arial" w:hAnsi="Arial" w:cs="Arial"/>
                <w:color w:val="FF0000"/>
                <w:sz w:val="14"/>
                <w:szCs w:val="14"/>
                <w:vertAlign w:val="superscript"/>
              </w:rPr>
              <w:t>35</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0.196***</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0.200***</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0.144***</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(0.041)</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(0.041)</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(0.047)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K</w:t>
            </w:r>
            <w:r w:rsidRPr="00D53241">
              <w:rPr>
                <w:rFonts w:ascii="Arial" w:hAnsi="Arial" w:cs="Arial"/>
                <w:sz w:val="14"/>
                <w:szCs w:val="14"/>
                <w:vertAlign w:val="subscript"/>
              </w:rPr>
              <w:t>t</w:t>
            </w:r>
            <w:r w:rsidRPr="00D53241">
              <w:rPr>
                <w:rFonts w:ascii="Arial" w:hAnsi="Arial" w:cs="Arial"/>
                <w:color w:val="FF0000"/>
                <w:sz w:val="14"/>
                <w:szCs w:val="14"/>
                <w:vertAlign w:val="superscript"/>
              </w:rPr>
              <w:t>16</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0.185***</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0.189***</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0.122***</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(0.038)</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(0.038)</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(0.044)</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proofErr w:type="spellStart"/>
            <w:r w:rsidRPr="00D53241">
              <w:rPr>
                <w:rFonts w:ascii="Arial" w:hAnsi="Arial" w:cs="Arial"/>
                <w:sz w:val="14"/>
                <w:szCs w:val="14"/>
              </w:rPr>
              <w:t>educ</w:t>
            </w:r>
            <w:proofErr w:type="spellEnd"/>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0.010</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-0.234**</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0.010</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0.009</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(0.011)</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(0.108)</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(0.011)</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(0.010)</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proofErr w:type="spellStart"/>
            <w:r w:rsidRPr="00D53241">
              <w:rPr>
                <w:rFonts w:ascii="Arial" w:hAnsi="Arial" w:cs="Arial"/>
                <w:sz w:val="14"/>
                <w:szCs w:val="14"/>
              </w:rPr>
              <w:t>lntot</w:t>
            </w:r>
            <w:proofErr w:type="spellEnd"/>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-3.208***</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-0.213**</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(1.007)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(0.106)</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constant</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0.015</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-1.243***</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-3.320***</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-4.111***</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-3.208***</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-3.222***</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-4.035***</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-1.935</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(0.027)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(0.237)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(0.473)</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(0.950)</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(1.007)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(0.450)</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(0.936)</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(1.254)</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R-square</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0.906</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0.938</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0.957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0.957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0.960</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0.957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0.957</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0.962</w:t>
            </w:r>
          </w:p>
        </w:tc>
      </w:tr>
      <w:tr w:rsidR="00F475F7" w:rsidRPr="00D53241" w:rsidTr="00D53241">
        <w:trPr>
          <w:trHeight w:val="255"/>
          <w:jc w:val="center"/>
        </w:trPr>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Num. of Obs.</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55</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55</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55</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55</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55</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55</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55</w:t>
            </w:r>
          </w:p>
        </w:tc>
        <w:tc>
          <w:tcPr>
            <w:tcW w:w="0" w:type="auto"/>
            <w:shd w:val="clear" w:color="auto" w:fill="auto"/>
            <w:noWrap/>
          </w:tcPr>
          <w:p w:rsidR="00F475F7" w:rsidRPr="00D53241" w:rsidRDefault="00F475F7" w:rsidP="00D53241">
            <w:pPr>
              <w:spacing w:line="360" w:lineRule="auto"/>
              <w:jc w:val="center"/>
              <w:rPr>
                <w:rFonts w:ascii="Arial" w:hAnsi="Arial" w:cs="Arial"/>
                <w:sz w:val="14"/>
                <w:szCs w:val="14"/>
              </w:rPr>
            </w:pPr>
            <w:r w:rsidRPr="00D53241">
              <w:rPr>
                <w:rFonts w:ascii="Arial" w:hAnsi="Arial" w:cs="Arial"/>
                <w:sz w:val="14"/>
                <w:szCs w:val="14"/>
              </w:rPr>
              <w:t>55</w:t>
            </w:r>
          </w:p>
        </w:tc>
      </w:tr>
    </w:tbl>
    <w:p w:rsidR="00F475F7" w:rsidRPr="00704504" w:rsidRDefault="00F475F7" w:rsidP="00704504">
      <w:pPr>
        <w:spacing w:line="360" w:lineRule="auto"/>
        <w:jc w:val="both"/>
        <w:rPr>
          <w:sz w:val="20"/>
        </w:rPr>
      </w:pPr>
    </w:p>
    <w:p w:rsidR="00F475F7" w:rsidRPr="00704504" w:rsidRDefault="00F475F7" w:rsidP="00704504">
      <w:pPr>
        <w:spacing w:line="360" w:lineRule="auto"/>
        <w:jc w:val="both"/>
        <w:rPr>
          <w:sz w:val="20"/>
        </w:rPr>
      </w:pPr>
      <w:r w:rsidRPr="00243568">
        <w:rPr>
          <w:b/>
          <w:sz w:val="20"/>
        </w:rPr>
        <w:t>Note:</w:t>
      </w:r>
      <w:r w:rsidRPr="00704504">
        <w:rPr>
          <w:sz w:val="20"/>
        </w:rPr>
        <w:t xml:space="preserve"> Standard errors in parentheses, and “***”, “**” and “*” represent the significance at 1 per cent, 5 per cent and 10 per cent level respectively.</w:t>
      </w:r>
    </w:p>
    <w:p w:rsidR="00F475F7" w:rsidRPr="00704504" w:rsidRDefault="00F475F7" w:rsidP="00704504">
      <w:pPr>
        <w:spacing w:line="360" w:lineRule="auto"/>
        <w:jc w:val="both"/>
        <w:rPr>
          <w:sz w:val="20"/>
        </w:rPr>
      </w:pPr>
      <w:r w:rsidRPr="00704504">
        <w:rPr>
          <w:sz w:val="20"/>
        </w:rPr>
        <w:t>Source: Authors’ own calculation.</w:t>
      </w:r>
    </w:p>
    <w:p w:rsidR="00F475F7" w:rsidRPr="00704504" w:rsidRDefault="00F475F7" w:rsidP="00704504">
      <w:pPr>
        <w:spacing w:line="360" w:lineRule="auto"/>
        <w:jc w:val="both"/>
        <w:rPr>
          <w:sz w:val="20"/>
        </w:rPr>
      </w:pPr>
    </w:p>
    <w:p w:rsidR="00F475F7" w:rsidRPr="00704504" w:rsidRDefault="00F475F7" w:rsidP="00704504">
      <w:pPr>
        <w:spacing w:line="360" w:lineRule="auto"/>
        <w:jc w:val="both"/>
        <w:rPr>
          <w:b/>
          <w:sz w:val="20"/>
        </w:rPr>
      </w:pPr>
      <w:r w:rsidRPr="00704504">
        <w:rPr>
          <w:b/>
          <w:sz w:val="20"/>
        </w:rPr>
        <w:br w:type="page"/>
      </w:r>
      <w:r w:rsidRPr="00704504">
        <w:rPr>
          <w:b/>
          <w:sz w:val="20"/>
        </w:rPr>
        <w:lastRenderedPageBreak/>
        <w:t>Appendix B, Data Collection and TFP Estimation</w:t>
      </w:r>
    </w:p>
    <w:p w:rsidR="00F475F7" w:rsidRPr="00704504" w:rsidRDefault="00F475F7" w:rsidP="00704504">
      <w:pPr>
        <w:spacing w:line="360" w:lineRule="auto"/>
        <w:jc w:val="both"/>
        <w:rPr>
          <w:sz w:val="20"/>
        </w:rPr>
      </w:pPr>
      <w:r w:rsidRPr="00704504">
        <w:rPr>
          <w:sz w:val="20"/>
        </w:rPr>
        <w:t xml:space="preserve">The aggregate TFP used in this analysis is estimated with the farm-level data mainly coming from ABARES’ Australian Agricultural and Grazing Industries Survey (AAGIS) of broadacre farmers, which has been carried out annually since the financial year of 1953. The method used for the estimation is the two-period non-transitive Fisher Indexing approach. </w:t>
      </w:r>
    </w:p>
    <w:p w:rsidR="00F475F7" w:rsidRPr="00704504" w:rsidRDefault="00F475F7" w:rsidP="00704504">
      <w:pPr>
        <w:spacing w:line="360" w:lineRule="auto"/>
        <w:jc w:val="both"/>
        <w:rPr>
          <w:sz w:val="20"/>
        </w:rPr>
      </w:pPr>
      <w:r w:rsidRPr="00D53241">
        <w:rPr>
          <w:rStyle w:val="Heading2Char"/>
          <w:rFonts w:ascii="Times New Roman" w:hAnsi="Times New Roman" w:cs="Times New Roman"/>
          <w:color w:val="000000" w:themeColor="text1"/>
          <w:sz w:val="20"/>
          <w:szCs w:val="20"/>
        </w:rPr>
        <w:t>Fisher’s ideal index:</w:t>
      </w:r>
      <w:r w:rsidRPr="00704504">
        <w:rPr>
          <w:rStyle w:val="Heading2Char"/>
          <w:rFonts w:ascii="Times New Roman" w:hAnsi="Times New Roman" w:cs="Times New Roman"/>
          <w:sz w:val="20"/>
          <w:szCs w:val="20"/>
        </w:rPr>
        <w:t xml:space="preserve"> </w:t>
      </w:r>
      <w:r w:rsidRPr="00704504">
        <w:rPr>
          <w:sz w:val="20"/>
        </w:rPr>
        <w:t xml:space="preserve">Index numbers are usually computed over time, but they can also be evaluated between farms and between time points. In the following let the subscripts </w:t>
      </w:r>
      <w:r w:rsidRPr="00704504">
        <w:rPr>
          <w:i/>
          <w:iCs/>
          <w:sz w:val="20"/>
        </w:rPr>
        <w:t>s</w:t>
      </w:r>
      <w:r w:rsidRPr="00704504">
        <w:rPr>
          <w:sz w:val="20"/>
        </w:rPr>
        <w:t xml:space="preserve"> and </w:t>
      </w:r>
      <w:r w:rsidRPr="00704504">
        <w:rPr>
          <w:i/>
          <w:iCs/>
          <w:sz w:val="20"/>
        </w:rPr>
        <w:t>t</w:t>
      </w:r>
      <w:r w:rsidRPr="00704504">
        <w:rPr>
          <w:sz w:val="20"/>
        </w:rPr>
        <w:t xml:space="preserve"> represent two farms at two, possibly different, time points.</w:t>
      </w:r>
    </w:p>
    <w:p w:rsidR="00F475F7" w:rsidRPr="00704504" w:rsidRDefault="00F475F7" w:rsidP="00704504">
      <w:pPr>
        <w:spacing w:line="360" w:lineRule="auto"/>
        <w:jc w:val="both"/>
        <w:rPr>
          <w:sz w:val="20"/>
        </w:rPr>
      </w:pPr>
      <w:r w:rsidRPr="00704504">
        <w:rPr>
          <w:sz w:val="20"/>
        </w:rPr>
        <w:t xml:space="preserve">The Fisher ideal quantity index is defined in terms of the </w:t>
      </w:r>
      <w:proofErr w:type="spellStart"/>
      <w:r w:rsidRPr="00704504">
        <w:rPr>
          <w:sz w:val="20"/>
        </w:rPr>
        <w:t>Laspeyres</w:t>
      </w:r>
      <w:proofErr w:type="spellEnd"/>
      <w:r w:rsidRPr="00704504">
        <w:rPr>
          <w:sz w:val="20"/>
        </w:rPr>
        <w:t xml:space="preserve"> and </w:t>
      </w:r>
      <w:proofErr w:type="spellStart"/>
      <w:r w:rsidRPr="00704504">
        <w:rPr>
          <w:sz w:val="20"/>
        </w:rPr>
        <w:t>Paasche</w:t>
      </w:r>
      <w:proofErr w:type="spellEnd"/>
      <w:r w:rsidRPr="00704504">
        <w:rPr>
          <w:sz w:val="20"/>
        </w:rPr>
        <w:t xml:space="preserve"> quantity indexes:</w:t>
      </w:r>
    </w:p>
    <w:p w:rsidR="00F475F7" w:rsidRPr="00704504" w:rsidRDefault="00F475F7" w:rsidP="00704504">
      <w:pPr>
        <w:spacing w:line="360" w:lineRule="auto"/>
        <w:jc w:val="both"/>
        <w:rPr>
          <w:sz w:val="20"/>
        </w:rPr>
      </w:pPr>
      <w:r w:rsidRPr="00704504">
        <w:rPr>
          <w:position w:val="-40"/>
          <w:sz w:val="20"/>
        </w:rPr>
        <w:object w:dxaOrig="1620" w:dyaOrig="900">
          <v:shape id="_x0000_i1111" type="#_x0000_t75" style="width:81.05pt;height:44.8pt" o:ole="">
            <v:imagedata r:id="rId179" o:title=""/>
          </v:shape>
          <o:OLEObject Type="Embed" ProgID="Equation.3" ShapeID="_x0000_i1111" DrawAspect="Content" ObjectID="_1541490971" r:id="rId180"/>
        </w:object>
      </w:r>
      <w:proofErr w:type="gramStart"/>
      <w:r w:rsidRPr="00704504">
        <w:rPr>
          <w:sz w:val="20"/>
        </w:rPr>
        <w:t>and</w:t>
      </w:r>
      <w:proofErr w:type="gramEnd"/>
      <w:r w:rsidRPr="00704504">
        <w:rPr>
          <w:position w:val="-38"/>
          <w:sz w:val="20"/>
        </w:rPr>
        <w:object w:dxaOrig="1760" w:dyaOrig="880">
          <v:shape id="_x0000_i1112" type="#_x0000_t75" style="width:87.25pt;height:44.35pt" o:ole="">
            <v:imagedata r:id="rId181" o:title=""/>
          </v:shape>
          <o:OLEObject Type="Embed" ProgID="Equation.3" ShapeID="_x0000_i1112" DrawAspect="Content" ObjectID="_1541490972" r:id="rId182"/>
        </w:object>
      </w:r>
      <w:r w:rsidRPr="00704504">
        <w:rPr>
          <w:sz w:val="20"/>
        </w:rPr>
        <w:tab/>
      </w:r>
      <w:r w:rsidRPr="00704504">
        <w:rPr>
          <w:sz w:val="20"/>
        </w:rPr>
        <w:tab/>
      </w:r>
      <w:r w:rsidRPr="00704504">
        <w:rPr>
          <w:sz w:val="20"/>
        </w:rPr>
        <w:tab/>
        <w:t>(B1)</w:t>
      </w:r>
    </w:p>
    <w:p w:rsidR="00F475F7" w:rsidRPr="00704504" w:rsidRDefault="00F475F7" w:rsidP="00704504">
      <w:pPr>
        <w:spacing w:line="360" w:lineRule="auto"/>
        <w:jc w:val="both"/>
        <w:rPr>
          <w:sz w:val="20"/>
        </w:rPr>
      </w:pPr>
      <w:r w:rsidRPr="00704504">
        <w:rPr>
          <w:sz w:val="20"/>
        </w:rPr>
        <w:t xml:space="preserve">respectively, where 1 ≤ </w:t>
      </w:r>
      <w:r w:rsidRPr="00704504">
        <w:rPr>
          <w:i/>
          <w:iCs/>
          <w:sz w:val="20"/>
        </w:rPr>
        <w:t>i</w:t>
      </w:r>
      <w:r w:rsidRPr="00704504">
        <w:rPr>
          <w:sz w:val="20"/>
        </w:rPr>
        <w:t xml:space="preserve"> ≤ </w:t>
      </w:r>
      <w:r w:rsidRPr="00704504">
        <w:rPr>
          <w:i/>
          <w:iCs/>
          <w:sz w:val="20"/>
        </w:rPr>
        <w:t>N,</w:t>
      </w:r>
      <w:r w:rsidRPr="00704504">
        <w:rPr>
          <w:sz w:val="20"/>
        </w:rPr>
        <w:t xml:space="preserve"> represents the input (output) used (produced) on the farm, </w:t>
      </w:r>
      <w:r w:rsidRPr="00704504">
        <w:rPr>
          <w:i/>
          <w:iCs/>
          <w:sz w:val="20"/>
        </w:rPr>
        <w:t>N</w:t>
      </w:r>
      <w:r w:rsidRPr="00704504">
        <w:rPr>
          <w:sz w:val="20"/>
        </w:rPr>
        <w:t xml:space="preserve"> is the total number of inputs (outputs), </w:t>
      </w:r>
      <w:proofErr w:type="spellStart"/>
      <w:r w:rsidRPr="00704504">
        <w:rPr>
          <w:i/>
          <w:iCs/>
          <w:sz w:val="20"/>
        </w:rPr>
        <w:t>p</w:t>
      </w:r>
      <w:r w:rsidRPr="00704504">
        <w:rPr>
          <w:i/>
          <w:iCs/>
          <w:sz w:val="20"/>
          <w:vertAlign w:val="subscript"/>
        </w:rPr>
        <w:t>is</w:t>
      </w:r>
      <w:proofErr w:type="spellEnd"/>
      <w:r w:rsidRPr="00704504">
        <w:rPr>
          <w:sz w:val="20"/>
        </w:rPr>
        <w:t xml:space="preserve"> is the price for input (output) </w:t>
      </w:r>
      <w:r w:rsidRPr="00704504">
        <w:rPr>
          <w:i/>
          <w:iCs/>
          <w:sz w:val="20"/>
        </w:rPr>
        <w:t>i</w:t>
      </w:r>
      <w:r w:rsidRPr="00704504">
        <w:rPr>
          <w:sz w:val="20"/>
        </w:rPr>
        <w:t xml:space="preserve"> for </w:t>
      </w:r>
      <w:r w:rsidRPr="00704504">
        <w:rPr>
          <w:i/>
          <w:iCs/>
          <w:sz w:val="20"/>
        </w:rPr>
        <w:t>s</w:t>
      </w:r>
      <w:r w:rsidRPr="00704504">
        <w:rPr>
          <w:sz w:val="20"/>
        </w:rPr>
        <w:t xml:space="preserve"> and </w:t>
      </w:r>
      <w:proofErr w:type="spellStart"/>
      <w:r w:rsidRPr="00704504">
        <w:rPr>
          <w:i/>
          <w:iCs/>
          <w:sz w:val="20"/>
        </w:rPr>
        <w:t>q</w:t>
      </w:r>
      <w:r w:rsidRPr="00704504">
        <w:rPr>
          <w:i/>
          <w:iCs/>
          <w:sz w:val="20"/>
          <w:vertAlign w:val="subscript"/>
        </w:rPr>
        <w:t>is</w:t>
      </w:r>
      <w:proofErr w:type="spellEnd"/>
      <w:r w:rsidRPr="00704504">
        <w:rPr>
          <w:sz w:val="20"/>
        </w:rPr>
        <w:t xml:space="preserve"> is the quantity used (produced) of </w:t>
      </w:r>
      <w:r w:rsidRPr="00704504">
        <w:rPr>
          <w:i/>
          <w:iCs/>
          <w:sz w:val="20"/>
        </w:rPr>
        <w:t>i</w:t>
      </w:r>
      <w:r w:rsidRPr="00704504">
        <w:rPr>
          <w:sz w:val="20"/>
        </w:rPr>
        <w:t>.</w:t>
      </w:r>
    </w:p>
    <w:p w:rsidR="00F475F7" w:rsidRPr="00704504" w:rsidRDefault="00F475F7" w:rsidP="00704504">
      <w:pPr>
        <w:spacing w:line="360" w:lineRule="auto"/>
        <w:jc w:val="both"/>
        <w:rPr>
          <w:sz w:val="20"/>
        </w:rPr>
      </w:pPr>
      <w:r w:rsidRPr="00704504">
        <w:rPr>
          <w:sz w:val="20"/>
        </w:rPr>
        <w:t xml:space="preserve">Fisher's ideal index is the geometric mean of the </w:t>
      </w:r>
      <w:proofErr w:type="spellStart"/>
      <w:r w:rsidRPr="00704504">
        <w:rPr>
          <w:sz w:val="20"/>
        </w:rPr>
        <w:t>Laspeyres</w:t>
      </w:r>
      <w:proofErr w:type="spellEnd"/>
      <w:r w:rsidRPr="00704504">
        <w:rPr>
          <w:sz w:val="20"/>
        </w:rPr>
        <w:t xml:space="preserve"> and </w:t>
      </w:r>
      <w:proofErr w:type="spellStart"/>
      <w:r w:rsidRPr="00704504">
        <w:rPr>
          <w:sz w:val="20"/>
        </w:rPr>
        <w:t>Paasche</w:t>
      </w:r>
      <w:proofErr w:type="spellEnd"/>
      <w:r w:rsidRPr="00704504">
        <w:rPr>
          <w:sz w:val="20"/>
        </w:rPr>
        <w:t xml:space="preserve"> indexes:</w:t>
      </w:r>
    </w:p>
    <w:p w:rsidR="00F475F7" w:rsidRPr="00704504" w:rsidRDefault="00F475F7" w:rsidP="00704504">
      <w:pPr>
        <w:spacing w:line="360" w:lineRule="auto"/>
        <w:jc w:val="both"/>
        <w:rPr>
          <w:sz w:val="20"/>
        </w:rPr>
      </w:pPr>
      <w:r w:rsidRPr="00704504">
        <w:rPr>
          <w:position w:val="-12"/>
          <w:sz w:val="20"/>
        </w:rPr>
        <w:object w:dxaOrig="1400" w:dyaOrig="420">
          <v:shape id="_x0000_i1113" type="#_x0000_t75" style="width:69.6pt;height:21pt" o:ole="">
            <v:imagedata r:id="rId183" o:title=""/>
          </v:shape>
          <o:OLEObject Type="Embed" ProgID="Equation.3" ShapeID="_x0000_i1113" DrawAspect="Content" ObjectID="_1541490973" r:id="rId184"/>
        </w:object>
      </w:r>
      <w:r w:rsidRPr="00704504">
        <w:rPr>
          <w:sz w:val="20"/>
        </w:rPr>
        <w:tab/>
      </w:r>
      <w:r w:rsidRPr="00704504">
        <w:rPr>
          <w:sz w:val="20"/>
        </w:rPr>
        <w:tab/>
      </w:r>
      <w:r w:rsidRPr="00704504">
        <w:rPr>
          <w:sz w:val="20"/>
        </w:rPr>
        <w:tab/>
      </w:r>
      <w:r w:rsidRPr="00704504">
        <w:rPr>
          <w:sz w:val="20"/>
        </w:rPr>
        <w:tab/>
      </w:r>
      <w:r w:rsidRPr="00704504">
        <w:rPr>
          <w:sz w:val="20"/>
        </w:rPr>
        <w:tab/>
      </w:r>
      <w:r w:rsidRPr="00704504">
        <w:rPr>
          <w:sz w:val="20"/>
        </w:rPr>
        <w:tab/>
      </w:r>
      <w:r w:rsidRPr="00704504">
        <w:rPr>
          <w:sz w:val="20"/>
        </w:rPr>
        <w:tab/>
        <w:t>(B2)</w:t>
      </w:r>
    </w:p>
    <w:p w:rsidR="00F475F7" w:rsidRPr="00704504" w:rsidRDefault="00F475F7" w:rsidP="00704504">
      <w:pPr>
        <w:spacing w:line="360" w:lineRule="auto"/>
        <w:jc w:val="both"/>
        <w:rPr>
          <w:sz w:val="20"/>
        </w:rPr>
      </w:pPr>
      <w:r w:rsidRPr="00704504">
        <w:rPr>
          <w:sz w:val="20"/>
        </w:rPr>
        <w:t>When applying the formulae above, a farm at a given time point is chosen as the base and given an index value of 1. The index values of all other farms at all other time points are then relative to this base farm. If an index number is transitive any two farms at any two time points can be compared to each other by simply dividing their respective index numbers. In other words, if the index is transitive, the estimates from a regression analysis will not depend on which farm is chosen as the base. This is critical when working with farm level data.</w:t>
      </w:r>
    </w:p>
    <w:p w:rsidR="00F475F7" w:rsidRPr="00704504" w:rsidRDefault="00F475F7" w:rsidP="00704504">
      <w:pPr>
        <w:spacing w:line="360" w:lineRule="auto"/>
        <w:jc w:val="both"/>
        <w:rPr>
          <w:sz w:val="20"/>
        </w:rPr>
      </w:pPr>
      <w:r w:rsidRPr="00704504">
        <w:rPr>
          <w:sz w:val="20"/>
        </w:rPr>
        <w:t>To ensure that Fisher's index is transitive the following transformation is applied:</w:t>
      </w:r>
    </w:p>
    <w:p w:rsidR="00F475F7" w:rsidRPr="00704504" w:rsidRDefault="00F475F7" w:rsidP="00704504">
      <w:pPr>
        <w:spacing w:line="360" w:lineRule="auto"/>
        <w:jc w:val="both"/>
        <w:rPr>
          <w:sz w:val="20"/>
        </w:rPr>
      </w:pPr>
      <w:r w:rsidRPr="00704504">
        <w:rPr>
          <w:position w:val="-30"/>
          <w:sz w:val="20"/>
        </w:rPr>
        <w:object w:dxaOrig="2140" w:dyaOrig="780">
          <v:shape id="_x0000_i1114" type="#_x0000_t75" style="width:107.3pt;height:39.1pt" o:ole="">
            <v:imagedata r:id="rId185" o:title=""/>
          </v:shape>
          <o:OLEObject Type="Embed" ProgID="Equation.3" ShapeID="_x0000_i1114" DrawAspect="Content" ObjectID="_1541490974" r:id="rId186"/>
        </w:object>
      </w:r>
      <w:r w:rsidRPr="00704504">
        <w:rPr>
          <w:sz w:val="20"/>
        </w:rPr>
        <w:tab/>
      </w:r>
      <w:r w:rsidRPr="00704504">
        <w:rPr>
          <w:sz w:val="20"/>
        </w:rPr>
        <w:tab/>
      </w:r>
      <w:r w:rsidRPr="00704504">
        <w:rPr>
          <w:sz w:val="20"/>
        </w:rPr>
        <w:tab/>
      </w:r>
      <w:r w:rsidRPr="00704504">
        <w:rPr>
          <w:sz w:val="20"/>
        </w:rPr>
        <w:tab/>
      </w:r>
      <w:r w:rsidRPr="00704504">
        <w:rPr>
          <w:sz w:val="20"/>
        </w:rPr>
        <w:tab/>
      </w:r>
      <w:r w:rsidRPr="00704504">
        <w:rPr>
          <w:sz w:val="20"/>
        </w:rPr>
        <w:tab/>
        <w:t>(B3)</w:t>
      </w:r>
    </w:p>
    <w:p w:rsidR="00F475F7" w:rsidRPr="00704504" w:rsidRDefault="00F475F7" w:rsidP="00704504">
      <w:pPr>
        <w:spacing w:line="360" w:lineRule="auto"/>
        <w:jc w:val="both"/>
        <w:rPr>
          <w:sz w:val="20"/>
        </w:rPr>
      </w:pPr>
      <w:proofErr w:type="gramStart"/>
      <w:r w:rsidRPr="00704504">
        <w:rPr>
          <w:sz w:val="20"/>
        </w:rPr>
        <w:t>where</w:t>
      </w:r>
      <w:proofErr w:type="gramEnd"/>
      <w:r w:rsidRPr="00704504">
        <w:rPr>
          <w:sz w:val="20"/>
        </w:rPr>
        <w:t xml:space="preserve"> 1 ≤ </w:t>
      </w:r>
      <w:r w:rsidRPr="00704504">
        <w:rPr>
          <w:i/>
          <w:iCs/>
          <w:sz w:val="20"/>
        </w:rPr>
        <w:t>r</w:t>
      </w:r>
      <w:r w:rsidRPr="00704504">
        <w:rPr>
          <w:sz w:val="20"/>
        </w:rPr>
        <w:t xml:space="preserve"> ≤ </w:t>
      </w:r>
      <w:r w:rsidRPr="00704504">
        <w:rPr>
          <w:i/>
          <w:iCs/>
          <w:sz w:val="20"/>
        </w:rPr>
        <w:t>n</w:t>
      </w:r>
      <w:r w:rsidRPr="00704504">
        <w:rPr>
          <w:sz w:val="20"/>
        </w:rPr>
        <w:t xml:space="preserve"> and </w:t>
      </w:r>
      <w:r w:rsidRPr="00704504">
        <w:rPr>
          <w:i/>
          <w:iCs/>
          <w:sz w:val="20"/>
        </w:rPr>
        <w:t>n</w:t>
      </w:r>
      <w:r w:rsidRPr="00704504">
        <w:rPr>
          <w:sz w:val="20"/>
        </w:rPr>
        <w:t xml:space="preserve"> is the number of sample points, including repeated observations of the same farm at different time points.</w:t>
      </w:r>
    </w:p>
    <w:p w:rsidR="00F475F7" w:rsidRPr="00704504" w:rsidRDefault="00F475F7" w:rsidP="00704504">
      <w:pPr>
        <w:spacing w:line="360" w:lineRule="auto"/>
        <w:jc w:val="both"/>
        <w:rPr>
          <w:b/>
          <w:sz w:val="20"/>
        </w:rPr>
      </w:pPr>
      <w:r w:rsidRPr="00704504">
        <w:rPr>
          <w:sz w:val="20"/>
        </w:rPr>
        <w:t>Total factor productivity is a ratio of an output quantity index relative to an input quantity index. Each index represents the change in combined inputs or combined outputs relative to a chosen farm or time. The input or output quantities are aggregated using corresponding market prices. The groups of variables making up the inputs and outputs in the present report are described below</w:t>
      </w:r>
    </w:p>
    <w:p w:rsidR="00F475F7" w:rsidRPr="00704504" w:rsidRDefault="00F475F7" w:rsidP="00704504">
      <w:pPr>
        <w:spacing w:line="360" w:lineRule="auto"/>
        <w:jc w:val="both"/>
        <w:rPr>
          <w:b/>
          <w:sz w:val="20"/>
        </w:rPr>
      </w:pPr>
      <w:r w:rsidRPr="00704504">
        <w:rPr>
          <w:b/>
          <w:sz w:val="20"/>
        </w:rPr>
        <w:t>Data Collection for Inputs and Outputs</w:t>
      </w:r>
    </w:p>
    <w:p w:rsidR="00F475F7" w:rsidRPr="00D53241" w:rsidRDefault="00F475F7" w:rsidP="00704504">
      <w:pPr>
        <w:pStyle w:val="Heading3"/>
        <w:spacing w:before="0" w:after="0" w:line="360" w:lineRule="auto"/>
        <w:ind w:left="0" w:firstLine="0"/>
        <w:jc w:val="both"/>
        <w:rPr>
          <w:rFonts w:cs="Times New Roman"/>
          <w:sz w:val="20"/>
          <w:szCs w:val="20"/>
        </w:rPr>
      </w:pPr>
      <w:r w:rsidRPr="00D53241">
        <w:rPr>
          <w:rFonts w:cs="Times New Roman"/>
          <w:sz w:val="20"/>
          <w:szCs w:val="20"/>
        </w:rPr>
        <w:t>Inputs</w:t>
      </w:r>
    </w:p>
    <w:p w:rsidR="00F475F7" w:rsidRPr="00704504" w:rsidRDefault="00F475F7" w:rsidP="00704504">
      <w:pPr>
        <w:spacing w:line="360" w:lineRule="auto"/>
        <w:jc w:val="both"/>
        <w:rPr>
          <w:sz w:val="20"/>
        </w:rPr>
      </w:pPr>
      <w:r w:rsidRPr="00704504">
        <w:rPr>
          <w:sz w:val="20"/>
        </w:rPr>
        <w:t>Inputs consist of 28 items that can be split into five major groups: land, capital, livestock purchases, labour, material and services.</w:t>
      </w:r>
    </w:p>
    <w:p w:rsidR="00F475F7" w:rsidRPr="00704504" w:rsidRDefault="00F475F7" w:rsidP="00704504">
      <w:pPr>
        <w:spacing w:line="360" w:lineRule="auto"/>
        <w:jc w:val="both"/>
        <w:rPr>
          <w:b/>
          <w:bCs/>
          <w:sz w:val="20"/>
        </w:rPr>
      </w:pPr>
    </w:p>
    <w:p w:rsidR="00F475F7" w:rsidRPr="00704504" w:rsidRDefault="00F475F7" w:rsidP="00704504">
      <w:pPr>
        <w:spacing w:line="360" w:lineRule="auto"/>
        <w:jc w:val="both"/>
        <w:rPr>
          <w:sz w:val="20"/>
        </w:rPr>
      </w:pPr>
      <w:r w:rsidRPr="00704504">
        <w:rPr>
          <w:b/>
          <w:bCs/>
          <w:sz w:val="20"/>
        </w:rPr>
        <w:lastRenderedPageBreak/>
        <w:t>Land</w:t>
      </w:r>
      <w:r w:rsidRPr="00704504">
        <w:rPr>
          <w:sz w:val="20"/>
        </w:rPr>
        <w:t xml:space="preserve"> The value variable for land is the opportunity cost of investing funds in this capital item. This is calculated as the average capital value (that is, the average of the opening and closing values) multiplied by a real interest rate. The quantity variable used for land is the area operated. </w:t>
      </w:r>
    </w:p>
    <w:p w:rsidR="00F475F7" w:rsidRPr="00704504" w:rsidRDefault="00F475F7" w:rsidP="00704504">
      <w:pPr>
        <w:spacing w:line="360" w:lineRule="auto"/>
        <w:jc w:val="both"/>
        <w:rPr>
          <w:sz w:val="20"/>
        </w:rPr>
      </w:pPr>
      <w:r w:rsidRPr="00704504">
        <w:rPr>
          <w:b/>
          <w:bCs/>
          <w:sz w:val="20"/>
        </w:rPr>
        <w:t>Capital</w:t>
      </w:r>
      <w:r w:rsidRPr="00704504">
        <w:rPr>
          <w:sz w:val="20"/>
        </w:rPr>
        <w:t xml:space="preserve"> is divided into plant and machinery, structures and livestock. The value variable for livestock is the opportunity cost of investing funds in this item. This is calculated as the average capital value (that is, the average of the opening and closing values) multiplied by a real interest rate. The value variables for structures, plant and machinery are the opportunity costs plus depreciation. For beef cattle, sheep and other livestock, the quantity variable is the average of opening and closing numbers. For buildings and plant capital, it is the average value of capital stock deflated by the respective prices paid indexes for each. </w:t>
      </w:r>
    </w:p>
    <w:p w:rsidR="00F475F7" w:rsidRPr="00704504" w:rsidRDefault="00F475F7" w:rsidP="00704504">
      <w:pPr>
        <w:spacing w:line="360" w:lineRule="auto"/>
        <w:jc w:val="both"/>
        <w:rPr>
          <w:sz w:val="20"/>
        </w:rPr>
      </w:pPr>
      <w:r w:rsidRPr="00704504">
        <w:rPr>
          <w:bCs/>
          <w:sz w:val="20"/>
        </w:rPr>
        <w:t>Livestock purchases</w:t>
      </w:r>
      <w:r w:rsidRPr="00704504">
        <w:rPr>
          <w:sz w:val="20"/>
        </w:rPr>
        <w:t xml:space="preserve">, as a subgroup of capital, are split into beef, sheep and other livestock purchases. Their value equals purchases plus the value of natural changes (births and deaths) and transfers out provided together these are negative. The quantity variables for sheep and beef are derived from the respective value variables and respective prices received indexes for sheep meats and slaughtered beef. For the relatively small category of other livestock, the quantity variable is derived from the value of purchases and prices received index for livestock products. </w:t>
      </w:r>
    </w:p>
    <w:p w:rsidR="00F475F7" w:rsidRPr="00704504" w:rsidRDefault="00F475F7" w:rsidP="00704504">
      <w:pPr>
        <w:spacing w:line="360" w:lineRule="auto"/>
        <w:jc w:val="both"/>
        <w:rPr>
          <w:sz w:val="20"/>
        </w:rPr>
      </w:pPr>
      <w:r w:rsidRPr="00D53241">
        <w:rPr>
          <w:b/>
          <w:bCs/>
          <w:sz w:val="20"/>
        </w:rPr>
        <w:t>Labour</w:t>
      </w:r>
      <w:r w:rsidRPr="00704504">
        <w:rPr>
          <w:sz w:val="20"/>
        </w:rPr>
        <w:t xml:space="preserve"> consists of four items - owner operator and family labour, hired labour, shearing costs, and stores and rations. The value of the owner operator and family labour input is imputed using weeks worked (collected as part of the survey) and an award wage. The value of hired labour is wages paid, and the values of shearing and stores and rations are expenditure on these items. The quantity variables for owner operator and family labour and hired labour are weeks worked. Expenditure on shearing was deflated by a shearing prices paid index is the quantity variable for shearing. </w:t>
      </w:r>
    </w:p>
    <w:p w:rsidR="00F475F7" w:rsidRPr="00704504" w:rsidRDefault="00F475F7" w:rsidP="00704504">
      <w:pPr>
        <w:spacing w:line="360" w:lineRule="auto"/>
        <w:jc w:val="both"/>
        <w:rPr>
          <w:sz w:val="20"/>
        </w:rPr>
      </w:pPr>
      <w:r w:rsidRPr="00704504">
        <w:rPr>
          <w:sz w:val="20"/>
        </w:rPr>
        <w:t xml:space="preserve">There are seven items in the </w:t>
      </w:r>
      <w:r w:rsidRPr="00704504">
        <w:rPr>
          <w:b/>
          <w:bCs/>
          <w:sz w:val="20"/>
        </w:rPr>
        <w:t>materials and services</w:t>
      </w:r>
      <w:r w:rsidRPr="00704504">
        <w:rPr>
          <w:sz w:val="20"/>
        </w:rPr>
        <w:t xml:space="preserve"> group – fertiliser, fuel, crop chemicals, livestock materials, seed, fodder and other materials – and there are eight items in the services group – rates and taxes, administrative costs, repairs and maintenance, vet expenses, motor vehicle expenses, insurance, contracts and other services. The value for each item is expenditure. The quantity variables are derived by deflating the expenditure on each by the appropriate prices paid index.</w:t>
      </w:r>
    </w:p>
    <w:p w:rsidR="00F475F7" w:rsidRPr="00704504" w:rsidRDefault="00F475F7" w:rsidP="00704504">
      <w:pPr>
        <w:pStyle w:val="Heading3"/>
        <w:spacing w:before="0" w:after="0" w:line="360" w:lineRule="auto"/>
        <w:ind w:left="0" w:firstLine="0"/>
        <w:jc w:val="both"/>
        <w:rPr>
          <w:rFonts w:cs="Times New Roman"/>
          <w:sz w:val="20"/>
          <w:szCs w:val="20"/>
        </w:rPr>
      </w:pPr>
      <w:r w:rsidRPr="00704504">
        <w:rPr>
          <w:rFonts w:cs="Times New Roman"/>
          <w:sz w:val="20"/>
          <w:szCs w:val="20"/>
        </w:rPr>
        <w:t>Outputs</w:t>
      </w:r>
    </w:p>
    <w:p w:rsidR="00F475F7" w:rsidRPr="00704504" w:rsidRDefault="00F475F7" w:rsidP="00704504">
      <w:pPr>
        <w:spacing w:line="360" w:lineRule="auto"/>
        <w:jc w:val="both"/>
        <w:rPr>
          <w:sz w:val="20"/>
        </w:rPr>
      </w:pPr>
      <w:r w:rsidRPr="00704504">
        <w:rPr>
          <w:sz w:val="20"/>
        </w:rPr>
        <w:t>Output consists of twelve items, which can be divided into four major groups: crops, livestock sales, wool and other farm income.</w:t>
      </w:r>
    </w:p>
    <w:p w:rsidR="00F475F7" w:rsidRPr="00704504" w:rsidRDefault="00F475F7" w:rsidP="00704504">
      <w:pPr>
        <w:spacing w:line="360" w:lineRule="auto"/>
        <w:jc w:val="both"/>
        <w:rPr>
          <w:sz w:val="20"/>
        </w:rPr>
      </w:pPr>
      <w:r w:rsidRPr="00704504">
        <w:rPr>
          <w:b/>
          <w:bCs/>
          <w:sz w:val="20"/>
        </w:rPr>
        <w:t>Crops</w:t>
      </w:r>
      <w:r w:rsidRPr="00704504">
        <w:rPr>
          <w:sz w:val="20"/>
        </w:rPr>
        <w:t xml:space="preserve"> are split into wheat, barley, oats, grain sorghum, oilseeds and other crops. The value variable for wheat is the quantity harvested multiplied by the Australian Wheat Board’s average net return for that year’s pool. For other grains and other crops, the value variable is net receipts in that year. The quantity variable for each of the grains is the quantity harvested. For the other crops, it is receipts deflated by the prices received index for crops. </w:t>
      </w:r>
    </w:p>
    <w:p w:rsidR="00F475F7" w:rsidRPr="00704504" w:rsidRDefault="00F475F7" w:rsidP="00704504">
      <w:pPr>
        <w:spacing w:line="360" w:lineRule="auto"/>
        <w:jc w:val="both"/>
        <w:rPr>
          <w:sz w:val="20"/>
        </w:rPr>
      </w:pPr>
      <w:r w:rsidRPr="00704504">
        <w:rPr>
          <w:sz w:val="20"/>
        </w:rPr>
        <w:t xml:space="preserve">For </w:t>
      </w:r>
      <w:r w:rsidRPr="00704504">
        <w:rPr>
          <w:b/>
          <w:bCs/>
          <w:sz w:val="20"/>
        </w:rPr>
        <w:t>livestock sales</w:t>
      </w:r>
      <w:r w:rsidRPr="00704504">
        <w:rPr>
          <w:sz w:val="20"/>
        </w:rPr>
        <w:t xml:space="preserve"> of beef, sheep and lambs, the value is sales plus the value of natural changes (births and deaths) and transfers in provided together these are positive. For the minor category of other livestock, the value variable is sales. The quantity variables for beef, sheep and lambs are derived from the respective value variables and the prices received indexes for slaughtered beef, sheep and lamb </w:t>
      </w:r>
      <w:r w:rsidRPr="00704504">
        <w:rPr>
          <w:sz w:val="20"/>
        </w:rPr>
        <w:lastRenderedPageBreak/>
        <w:t xml:space="preserve">meats. For the category of other livestock, the quantity variable is derived from the value of sales and </w:t>
      </w:r>
      <w:proofErr w:type="gramStart"/>
      <w:r w:rsidRPr="00704504">
        <w:rPr>
          <w:sz w:val="20"/>
        </w:rPr>
        <w:t>a prices</w:t>
      </w:r>
      <w:proofErr w:type="gramEnd"/>
      <w:r w:rsidRPr="00704504">
        <w:rPr>
          <w:sz w:val="20"/>
        </w:rPr>
        <w:t xml:space="preserve"> received index for livestock products. </w:t>
      </w:r>
    </w:p>
    <w:p w:rsidR="00F475F7" w:rsidRPr="00704504" w:rsidRDefault="00F475F7" w:rsidP="00704504">
      <w:pPr>
        <w:spacing w:line="360" w:lineRule="auto"/>
        <w:jc w:val="both"/>
        <w:rPr>
          <w:sz w:val="20"/>
        </w:rPr>
      </w:pPr>
      <w:r w:rsidRPr="00704504">
        <w:rPr>
          <w:sz w:val="20"/>
        </w:rPr>
        <w:t xml:space="preserve">For </w:t>
      </w:r>
      <w:r w:rsidRPr="00704504">
        <w:rPr>
          <w:b/>
          <w:bCs/>
          <w:sz w:val="20"/>
        </w:rPr>
        <w:t>wool</w:t>
      </w:r>
      <w:r w:rsidRPr="00704504">
        <w:rPr>
          <w:sz w:val="20"/>
        </w:rPr>
        <w:t xml:space="preserve"> the value variable is net receipts. The quantity variable is the amount of wool shorn in kilograms. </w:t>
      </w:r>
    </w:p>
    <w:p w:rsidR="00F475F7" w:rsidRPr="00704504" w:rsidRDefault="00F475F7" w:rsidP="00704504">
      <w:pPr>
        <w:spacing w:line="360" w:lineRule="auto"/>
        <w:jc w:val="both"/>
        <w:rPr>
          <w:sz w:val="20"/>
        </w:rPr>
      </w:pPr>
      <w:r w:rsidRPr="00704504">
        <w:rPr>
          <w:sz w:val="20"/>
        </w:rPr>
        <w:t xml:space="preserve">And finally for </w:t>
      </w:r>
      <w:r w:rsidRPr="00704504">
        <w:rPr>
          <w:b/>
          <w:bCs/>
          <w:sz w:val="20"/>
        </w:rPr>
        <w:t>other farm income</w:t>
      </w:r>
      <w:r w:rsidRPr="00704504">
        <w:rPr>
          <w:sz w:val="20"/>
        </w:rPr>
        <w:t xml:space="preserve"> the value variable is receipts and the quantity variable is receipts deflated by the sector prices received index.</w:t>
      </w:r>
    </w:p>
    <w:p w:rsidR="00F475F7" w:rsidRPr="00704504" w:rsidRDefault="00F475F7" w:rsidP="00704504">
      <w:pPr>
        <w:spacing w:line="360" w:lineRule="auto"/>
        <w:jc w:val="both"/>
        <w:rPr>
          <w:b/>
          <w:sz w:val="20"/>
        </w:rPr>
      </w:pPr>
      <w:r w:rsidRPr="00704504">
        <w:rPr>
          <w:b/>
          <w:sz w:val="20"/>
        </w:rPr>
        <w:t>Definition of Other Variables</w:t>
      </w:r>
    </w:p>
    <w:p w:rsidR="00F475F7" w:rsidRPr="00704504" w:rsidRDefault="00F475F7" w:rsidP="00704504">
      <w:pPr>
        <w:spacing w:line="360" w:lineRule="auto"/>
        <w:jc w:val="both"/>
        <w:rPr>
          <w:sz w:val="20"/>
        </w:rPr>
      </w:pPr>
      <w:r w:rsidRPr="00704504">
        <w:rPr>
          <w:sz w:val="20"/>
        </w:rPr>
        <w:t xml:space="preserve">In addition to the estimated TFP at the aggregate level, we also use other four variables as independent variables in the OLS regressions to examine their potential impact on the stability of productivity growth over time. </w:t>
      </w:r>
    </w:p>
    <w:p w:rsidR="00F475F7" w:rsidRPr="00704504" w:rsidRDefault="00F475F7" w:rsidP="00704504">
      <w:pPr>
        <w:spacing w:line="360" w:lineRule="auto"/>
        <w:jc w:val="both"/>
        <w:rPr>
          <w:sz w:val="20"/>
        </w:rPr>
      </w:pPr>
      <w:r w:rsidRPr="00704504">
        <w:rPr>
          <w:position w:val="-12"/>
          <w:sz w:val="20"/>
        </w:rPr>
        <w:object w:dxaOrig="520" w:dyaOrig="360">
          <v:shape id="_x0000_i1115" type="#_x0000_t75" style="width:26.25pt;height:18.1pt" o:ole="">
            <v:imagedata r:id="rId187" o:title=""/>
          </v:shape>
          <o:OLEObject Type="Embed" ProgID="Equation.3" ShapeID="_x0000_i1115" DrawAspect="Content" ObjectID="_1541490975" r:id="rId188"/>
        </w:object>
      </w:r>
      <w:r w:rsidRPr="00704504">
        <w:rPr>
          <w:sz w:val="20"/>
        </w:rPr>
        <w:t xml:space="preserve"> is the logarithm of an index of crop water stress for </w:t>
      </w:r>
      <w:proofErr w:type="spellStart"/>
      <w:r w:rsidRPr="00704504">
        <w:rPr>
          <w:sz w:val="20"/>
        </w:rPr>
        <w:t>broadacre</w:t>
      </w:r>
      <w:proofErr w:type="spellEnd"/>
      <w:r w:rsidRPr="00704504">
        <w:rPr>
          <w:sz w:val="20"/>
        </w:rPr>
        <w:t xml:space="preserve"> industry, which is used to account for the impact of climate (both variability and climate change)Due to data availability, we construct this variable with different data sets over time. Specifically, for the period of 1953 to 1988, the index is obtained directly from APSRU, CSIRO. However, for the period of 1989 to 2004 (since there is no aggregate level data available), we have to use the weighted average of the water stress index at the farm-level (with DSE as the weight) to estimate its growth rate at the aggregate level. Thereafter, we apply the aggregate level growth rate of the water stress index to its previous trend and update its absolute level. For the period of 2004 to 2007 (even the individual level data is not available), we take the weighted average of the total rainfall at the farm-level (with DSE as the weight) to estimate the growth rate at the aggregate level. Thereafter, we apply the aggregate level growth rate of the total rainfall to the previous trend of the water stress index and update its absolute value.</w:t>
      </w:r>
    </w:p>
    <w:p w:rsidR="00F475F7" w:rsidRPr="00704504" w:rsidRDefault="00F475F7" w:rsidP="00704504">
      <w:pPr>
        <w:spacing w:line="360" w:lineRule="auto"/>
        <w:jc w:val="both"/>
        <w:rPr>
          <w:sz w:val="20"/>
        </w:rPr>
      </w:pPr>
      <w:r w:rsidRPr="00704504">
        <w:rPr>
          <w:sz w:val="20"/>
        </w:rPr>
        <w:t xml:space="preserve">There is little by way of theory or empirical evidence to guide the construction of knowledge stock variables representing the technology available to farmers except that most empirical work suggests that these lags are long </w:t>
      </w:r>
      <w:r w:rsidR="00C10360" w:rsidRPr="00704504">
        <w:rPr>
          <w:color w:val="FF0000"/>
          <w:sz w:val="20"/>
        </w:rPr>
        <w:t>[31</w:t>
      </w:r>
      <w:r w:rsidR="00623D7B" w:rsidRPr="00704504">
        <w:rPr>
          <w:color w:val="FF0000"/>
          <w:sz w:val="20"/>
        </w:rPr>
        <w:t>]</w:t>
      </w:r>
      <w:r w:rsidR="00623D7B" w:rsidRPr="00704504">
        <w:rPr>
          <w:sz w:val="20"/>
        </w:rPr>
        <w:t xml:space="preserve">. Mullen </w:t>
      </w:r>
      <w:r w:rsidR="00623D7B" w:rsidRPr="00704504">
        <w:rPr>
          <w:color w:val="FF0000"/>
          <w:sz w:val="20"/>
        </w:rPr>
        <w:t xml:space="preserve">[3] </w:t>
      </w:r>
      <w:r w:rsidRPr="00704504">
        <w:rPr>
          <w:sz w:val="20"/>
        </w:rPr>
        <w:t xml:space="preserve">used a trapezoidal 35 year lag research profile, </w:t>
      </w:r>
      <w:r w:rsidRPr="00704504">
        <w:rPr>
          <w:position w:val="-12"/>
          <w:sz w:val="20"/>
        </w:rPr>
        <w:object w:dxaOrig="420" w:dyaOrig="380">
          <v:shape id="_x0000_i1116" type="#_x0000_t75" style="width:21pt;height:18.6pt" o:ole="">
            <v:imagedata r:id="rId189" o:title=""/>
          </v:shape>
          <o:OLEObject Type="Embed" ProgID="Equation.3" ShapeID="_x0000_i1116" DrawAspect="Content" ObjectID="_1541490976" r:id="rId190"/>
        </w:object>
      </w:r>
      <w:r w:rsidRPr="00704504">
        <w:rPr>
          <w:sz w:val="20"/>
        </w:rPr>
        <w:t xml:space="preserve"> and a 16 year inverted V profile</w:t>
      </w:r>
      <w:proofErr w:type="gramStart"/>
      <w:r w:rsidRPr="00704504">
        <w:rPr>
          <w:sz w:val="20"/>
        </w:rPr>
        <w:t xml:space="preserve">, </w:t>
      </w:r>
      <w:proofErr w:type="gramEnd"/>
      <w:r w:rsidRPr="00704504">
        <w:rPr>
          <w:position w:val="-12"/>
          <w:sz w:val="20"/>
        </w:rPr>
        <w:object w:dxaOrig="400" w:dyaOrig="380">
          <v:shape id="_x0000_i1117" type="#_x0000_t75" style="width:20.5pt;height:18.6pt" o:ole="">
            <v:imagedata r:id="rId191" o:title=""/>
          </v:shape>
          <o:OLEObject Type="Embed" ProgID="Equation.3" ShapeID="_x0000_i1117" DrawAspect="Content" ObjectID="_1541490977" r:id="rId192"/>
        </w:object>
      </w:r>
      <w:r w:rsidRPr="00704504">
        <w:rPr>
          <w:sz w:val="20"/>
        </w:rPr>
        <w:t xml:space="preserve">, to proxy the impact of public investment in research and development. Mullen’s database on R&amp;D investment has been updated to 2007 from ABS sources. </w:t>
      </w:r>
    </w:p>
    <w:p w:rsidR="00F475F7" w:rsidRPr="00704504" w:rsidRDefault="00F475F7" w:rsidP="00704504">
      <w:pPr>
        <w:spacing w:line="360" w:lineRule="auto"/>
        <w:jc w:val="both"/>
        <w:rPr>
          <w:sz w:val="20"/>
        </w:rPr>
      </w:pPr>
      <w:r w:rsidRPr="00704504">
        <w:rPr>
          <w:position w:val="-6"/>
          <w:sz w:val="20"/>
        </w:rPr>
        <w:object w:dxaOrig="520" w:dyaOrig="279">
          <v:shape id="_x0000_i1118" type="#_x0000_t75" style="width:26.25pt;height:14.3pt" o:ole="">
            <v:imagedata r:id="rId193" o:title=""/>
          </v:shape>
          <o:OLEObject Type="Embed" ProgID="Equation.3" ShapeID="_x0000_i1118" DrawAspect="Content" ObjectID="_1541490978" r:id="rId194"/>
        </w:object>
      </w:r>
      <w:r w:rsidR="00D53241">
        <w:rPr>
          <w:position w:val="-6"/>
          <w:sz w:val="20"/>
        </w:rPr>
        <w:t xml:space="preserve"> </w:t>
      </w:r>
      <w:proofErr w:type="gramStart"/>
      <w:r w:rsidRPr="00704504">
        <w:rPr>
          <w:sz w:val="20"/>
        </w:rPr>
        <w:t>is</w:t>
      </w:r>
      <w:proofErr w:type="gramEnd"/>
      <w:r w:rsidRPr="00704504">
        <w:rPr>
          <w:sz w:val="20"/>
        </w:rPr>
        <w:t xml:space="preserve"> defined as the percentage of enrolled students in schools in the total population aged between 4 and 19. The index was initially used by Hastings, and then updated by Mullen and Cox </w:t>
      </w:r>
      <w:r w:rsidR="00623D7B" w:rsidRPr="00704504">
        <w:rPr>
          <w:color w:val="FF0000"/>
          <w:sz w:val="20"/>
        </w:rPr>
        <w:t>[3]</w:t>
      </w:r>
      <w:r w:rsidRPr="00704504">
        <w:rPr>
          <w:sz w:val="20"/>
        </w:rPr>
        <w:t>. We used the same methodology. Enrolment is defined as "school attendance" or "the number of school students at the national level" obtained from ABS 4102.0 (various years: 2005, 2009) for the period of 1994-95 to present. The population data came from ABS 3201.0 Population by Age and Sex, Australian States and Territories (</w:t>
      </w:r>
      <w:r w:rsidRPr="00704504">
        <w:rPr>
          <w:color w:val="FF0000"/>
          <w:sz w:val="20"/>
        </w:rPr>
        <w:t>TABLE 9.1</w:t>
      </w:r>
      <w:r w:rsidRPr="00704504">
        <w:rPr>
          <w:sz w:val="20"/>
        </w:rPr>
        <w:t xml:space="preserve"> Estimated Resident Population by single year of age, Australia). To smooth the trend, we take the 5-year moving average of the data series. </w:t>
      </w:r>
    </w:p>
    <w:p w:rsidR="00F475F7" w:rsidRPr="00704504" w:rsidRDefault="00F475F7" w:rsidP="00704504">
      <w:pPr>
        <w:spacing w:line="360" w:lineRule="auto"/>
        <w:jc w:val="both"/>
        <w:rPr>
          <w:sz w:val="20"/>
        </w:rPr>
      </w:pPr>
      <w:r w:rsidRPr="00704504">
        <w:rPr>
          <w:position w:val="-12"/>
          <w:sz w:val="20"/>
        </w:rPr>
        <w:object w:dxaOrig="600" w:dyaOrig="360">
          <v:shape id="_x0000_i1119" type="#_x0000_t75" style="width:30.05pt;height:18.1pt" o:ole="">
            <v:imagedata r:id="rId195" o:title=""/>
          </v:shape>
          <o:OLEObject Type="Embed" ProgID="Equation.3" ShapeID="_x0000_i1119" DrawAspect="Content" ObjectID="_1541490979" r:id="rId196"/>
        </w:object>
      </w:r>
      <w:proofErr w:type="gramStart"/>
      <w:r w:rsidRPr="00704504">
        <w:rPr>
          <w:sz w:val="20"/>
        </w:rPr>
        <w:t>is</w:t>
      </w:r>
      <w:proofErr w:type="gramEnd"/>
      <w:r w:rsidRPr="00704504">
        <w:rPr>
          <w:sz w:val="20"/>
        </w:rPr>
        <w:t xml:space="preserve"> defined as the logarithm of terms of trade for broadacre agriculture derived from ABARES data. </w:t>
      </w:r>
    </w:p>
    <w:p w:rsidR="00F475F7" w:rsidRPr="00704504" w:rsidRDefault="00F475F7" w:rsidP="00704504">
      <w:pPr>
        <w:spacing w:line="360" w:lineRule="auto"/>
        <w:jc w:val="both"/>
        <w:rPr>
          <w:sz w:val="20"/>
        </w:rPr>
      </w:pPr>
      <w:r w:rsidRPr="00704504">
        <w:rPr>
          <w:sz w:val="20"/>
        </w:rPr>
        <w:t xml:space="preserve">Finally, some descriptive statistics of the four variables are shown in </w:t>
      </w:r>
      <w:r w:rsidRPr="009B7A3E">
        <w:rPr>
          <w:color w:val="000000" w:themeColor="text1"/>
          <w:sz w:val="20"/>
        </w:rPr>
        <w:t>Figures B1-B4.</w:t>
      </w:r>
    </w:p>
    <w:p w:rsidR="009B7A3E" w:rsidRDefault="009B7A3E" w:rsidP="00704504">
      <w:pPr>
        <w:spacing w:line="360" w:lineRule="auto"/>
        <w:jc w:val="both"/>
        <w:rPr>
          <w:b/>
          <w:color w:val="000000" w:themeColor="text1"/>
          <w:sz w:val="20"/>
        </w:rPr>
      </w:pPr>
    </w:p>
    <w:p w:rsidR="009B7A3E" w:rsidRDefault="009B7A3E" w:rsidP="00704504">
      <w:pPr>
        <w:spacing w:line="360" w:lineRule="auto"/>
        <w:jc w:val="both"/>
        <w:rPr>
          <w:b/>
          <w:color w:val="000000" w:themeColor="text1"/>
          <w:sz w:val="20"/>
        </w:rPr>
      </w:pPr>
    </w:p>
    <w:p w:rsidR="00F475F7" w:rsidRPr="00704504" w:rsidRDefault="00F475F7" w:rsidP="00704504">
      <w:pPr>
        <w:spacing w:line="360" w:lineRule="auto"/>
        <w:jc w:val="both"/>
        <w:rPr>
          <w:sz w:val="20"/>
        </w:rPr>
      </w:pPr>
      <w:r w:rsidRPr="00704504">
        <w:rPr>
          <w:noProof/>
          <w:sz w:val="20"/>
          <w:lang w:val="en-US"/>
        </w:rPr>
        <w:lastRenderedPageBreak/>
        <w:drawing>
          <wp:inline distT="0" distB="0" distL="0" distR="0">
            <wp:extent cx="5492115" cy="27432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7" cstate="print"/>
                    <a:srcRect/>
                    <a:stretch>
                      <a:fillRect/>
                    </a:stretch>
                  </pic:blipFill>
                  <pic:spPr bwMode="auto">
                    <a:xfrm>
                      <a:off x="0" y="0"/>
                      <a:ext cx="5492115" cy="2743200"/>
                    </a:xfrm>
                    <a:prstGeom prst="rect">
                      <a:avLst/>
                    </a:prstGeom>
                    <a:noFill/>
                    <a:ln w="9525">
                      <a:noFill/>
                      <a:miter lim="800000"/>
                      <a:headEnd/>
                      <a:tailEnd/>
                    </a:ln>
                  </pic:spPr>
                </pic:pic>
              </a:graphicData>
            </a:graphic>
          </wp:inline>
        </w:drawing>
      </w:r>
    </w:p>
    <w:p w:rsidR="00243568" w:rsidRPr="00704504" w:rsidRDefault="00243568" w:rsidP="00243568">
      <w:pPr>
        <w:spacing w:line="360" w:lineRule="auto"/>
        <w:jc w:val="both"/>
        <w:rPr>
          <w:sz w:val="20"/>
        </w:rPr>
      </w:pPr>
      <w:r w:rsidRPr="00612BAA">
        <w:rPr>
          <w:b/>
          <w:color w:val="000000" w:themeColor="text1"/>
          <w:sz w:val="20"/>
        </w:rPr>
        <w:t>Figure B1:</w:t>
      </w:r>
      <w:r w:rsidRPr="00D53241">
        <w:rPr>
          <w:sz w:val="20"/>
        </w:rPr>
        <w:t xml:space="preserve"> Comparison</w:t>
      </w:r>
      <w:r w:rsidRPr="00704504">
        <w:rPr>
          <w:sz w:val="20"/>
        </w:rPr>
        <w:t xml:space="preserve"> of “crop water stress index” and “pasture grass growth index”: 1952-53 to 2006-07</w:t>
      </w:r>
    </w:p>
    <w:p w:rsidR="00F475F7" w:rsidRPr="00704504" w:rsidRDefault="00F475F7" w:rsidP="00704504">
      <w:pPr>
        <w:spacing w:line="360" w:lineRule="auto"/>
        <w:jc w:val="both"/>
        <w:rPr>
          <w:sz w:val="20"/>
        </w:rPr>
      </w:pPr>
      <w:r w:rsidRPr="00704504">
        <w:rPr>
          <w:noProof/>
          <w:sz w:val="20"/>
          <w:lang w:val="en-US"/>
        </w:rPr>
        <w:drawing>
          <wp:inline distT="0" distB="0" distL="0" distR="0">
            <wp:extent cx="5492115" cy="26289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8" cstate="print"/>
                    <a:srcRect/>
                    <a:stretch>
                      <a:fillRect/>
                    </a:stretch>
                  </pic:blipFill>
                  <pic:spPr bwMode="auto">
                    <a:xfrm>
                      <a:off x="0" y="0"/>
                      <a:ext cx="5492115" cy="2628900"/>
                    </a:xfrm>
                    <a:prstGeom prst="rect">
                      <a:avLst/>
                    </a:prstGeom>
                    <a:noFill/>
                    <a:ln w="9525">
                      <a:noFill/>
                      <a:miter lim="800000"/>
                      <a:headEnd/>
                      <a:tailEnd/>
                    </a:ln>
                  </pic:spPr>
                </pic:pic>
              </a:graphicData>
            </a:graphic>
          </wp:inline>
        </w:drawing>
      </w:r>
    </w:p>
    <w:p w:rsidR="00243568" w:rsidRPr="00704504" w:rsidRDefault="00243568" w:rsidP="00243568">
      <w:pPr>
        <w:spacing w:line="360" w:lineRule="auto"/>
        <w:jc w:val="both"/>
        <w:rPr>
          <w:sz w:val="20"/>
        </w:rPr>
      </w:pPr>
      <w:r w:rsidRPr="000C5F15">
        <w:rPr>
          <w:b/>
          <w:sz w:val="20"/>
        </w:rPr>
        <w:t>Figure B2:</w:t>
      </w:r>
      <w:r w:rsidRPr="00704504">
        <w:rPr>
          <w:sz w:val="20"/>
        </w:rPr>
        <w:t xml:space="preserve"> Trends in public real agriculture R&amp;D investment with 35-year and 16-year lags and public extension index: 1952-53 to 2006-07</w:t>
      </w:r>
    </w:p>
    <w:p w:rsidR="00F475F7" w:rsidRPr="00704504" w:rsidRDefault="00F475F7" w:rsidP="00704504">
      <w:pPr>
        <w:spacing w:line="360" w:lineRule="auto"/>
        <w:jc w:val="both"/>
        <w:rPr>
          <w:sz w:val="20"/>
        </w:rPr>
      </w:pPr>
    </w:p>
    <w:p w:rsidR="00F475F7" w:rsidRPr="00704504" w:rsidRDefault="00F475F7" w:rsidP="00704504">
      <w:pPr>
        <w:spacing w:line="360" w:lineRule="auto"/>
        <w:jc w:val="both"/>
        <w:rPr>
          <w:sz w:val="20"/>
        </w:rPr>
      </w:pPr>
      <w:r w:rsidRPr="00704504">
        <w:rPr>
          <w:noProof/>
          <w:sz w:val="20"/>
          <w:lang w:val="en-US"/>
        </w:rPr>
        <w:lastRenderedPageBreak/>
        <w:drawing>
          <wp:inline distT="0" distB="0" distL="0" distR="0">
            <wp:extent cx="5252085" cy="234061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9" cstate="print"/>
                    <a:srcRect/>
                    <a:stretch>
                      <a:fillRect/>
                    </a:stretch>
                  </pic:blipFill>
                  <pic:spPr bwMode="auto">
                    <a:xfrm>
                      <a:off x="0" y="0"/>
                      <a:ext cx="5252085" cy="2340610"/>
                    </a:xfrm>
                    <a:prstGeom prst="rect">
                      <a:avLst/>
                    </a:prstGeom>
                    <a:noFill/>
                    <a:ln w="9525">
                      <a:noFill/>
                      <a:miter lim="800000"/>
                      <a:headEnd/>
                      <a:tailEnd/>
                    </a:ln>
                  </pic:spPr>
                </pic:pic>
              </a:graphicData>
            </a:graphic>
          </wp:inline>
        </w:drawing>
      </w:r>
    </w:p>
    <w:p w:rsidR="00243568" w:rsidRPr="00704504" w:rsidRDefault="00243568" w:rsidP="00243568">
      <w:pPr>
        <w:spacing w:line="360" w:lineRule="auto"/>
        <w:jc w:val="both"/>
        <w:rPr>
          <w:sz w:val="20"/>
        </w:rPr>
      </w:pPr>
      <w:r w:rsidRPr="00612BAA">
        <w:rPr>
          <w:b/>
          <w:color w:val="000000" w:themeColor="text1"/>
          <w:sz w:val="20"/>
        </w:rPr>
        <w:t>Figure B3:</w:t>
      </w:r>
      <w:r w:rsidRPr="00704504">
        <w:rPr>
          <w:sz w:val="20"/>
        </w:rPr>
        <w:t xml:space="preserve"> Trends in education index in Australia: 1952-53 to 2006-07</w:t>
      </w:r>
    </w:p>
    <w:p w:rsidR="00F475F7" w:rsidRPr="00704504" w:rsidRDefault="00F475F7" w:rsidP="00704504">
      <w:pPr>
        <w:spacing w:line="360" w:lineRule="auto"/>
        <w:jc w:val="both"/>
        <w:rPr>
          <w:sz w:val="20"/>
        </w:rPr>
      </w:pPr>
    </w:p>
    <w:p w:rsidR="00F475F7" w:rsidRPr="00704504" w:rsidRDefault="00F475F7" w:rsidP="00704504">
      <w:pPr>
        <w:spacing w:line="360" w:lineRule="auto"/>
        <w:jc w:val="both"/>
        <w:rPr>
          <w:sz w:val="20"/>
        </w:rPr>
      </w:pPr>
      <w:r w:rsidRPr="00704504">
        <w:rPr>
          <w:noProof/>
          <w:sz w:val="20"/>
          <w:lang w:val="en-US"/>
        </w:rPr>
        <w:drawing>
          <wp:inline distT="0" distB="0" distL="0" distR="0">
            <wp:extent cx="5274310" cy="233489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0" cstate="print"/>
                    <a:srcRect/>
                    <a:stretch>
                      <a:fillRect/>
                    </a:stretch>
                  </pic:blipFill>
                  <pic:spPr bwMode="auto">
                    <a:xfrm>
                      <a:off x="0" y="0"/>
                      <a:ext cx="5274310" cy="2334895"/>
                    </a:xfrm>
                    <a:prstGeom prst="rect">
                      <a:avLst/>
                    </a:prstGeom>
                    <a:noFill/>
                    <a:ln w="9525">
                      <a:noFill/>
                      <a:miter lim="800000"/>
                      <a:headEnd/>
                      <a:tailEnd/>
                    </a:ln>
                  </pic:spPr>
                </pic:pic>
              </a:graphicData>
            </a:graphic>
          </wp:inline>
        </w:drawing>
      </w:r>
    </w:p>
    <w:p w:rsidR="00243568" w:rsidRPr="00704504" w:rsidRDefault="00243568" w:rsidP="00243568">
      <w:pPr>
        <w:spacing w:line="360" w:lineRule="auto"/>
        <w:jc w:val="both"/>
        <w:rPr>
          <w:sz w:val="20"/>
        </w:rPr>
      </w:pPr>
      <w:r w:rsidRPr="00612BAA">
        <w:rPr>
          <w:b/>
          <w:sz w:val="20"/>
        </w:rPr>
        <w:t>Figure B4:</w:t>
      </w:r>
      <w:r w:rsidRPr="00704504">
        <w:rPr>
          <w:sz w:val="20"/>
        </w:rPr>
        <w:t xml:space="preserve"> Trends in </w:t>
      </w:r>
      <w:proofErr w:type="spellStart"/>
      <w:r w:rsidRPr="00704504">
        <w:rPr>
          <w:sz w:val="20"/>
        </w:rPr>
        <w:t>broadacre</w:t>
      </w:r>
      <w:proofErr w:type="spellEnd"/>
      <w:r w:rsidRPr="00704504">
        <w:rPr>
          <w:sz w:val="20"/>
        </w:rPr>
        <w:t xml:space="preserve"> terms of trade: 1953 - 2007</w:t>
      </w:r>
    </w:p>
    <w:p w:rsidR="0055243C" w:rsidRPr="00704504" w:rsidRDefault="0055243C" w:rsidP="00704504">
      <w:pPr>
        <w:spacing w:line="360" w:lineRule="auto"/>
        <w:jc w:val="both"/>
        <w:rPr>
          <w:sz w:val="20"/>
        </w:rPr>
      </w:pPr>
    </w:p>
    <w:sectPr w:rsidR="0055243C" w:rsidRPr="00704504" w:rsidSect="00F475F7">
      <w:footerReference w:type="default" r:id="rId20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A3E" w:rsidRDefault="009B7A3E" w:rsidP="00F475F7">
      <w:r>
        <w:separator/>
      </w:r>
    </w:p>
  </w:endnote>
  <w:endnote w:type="continuationSeparator" w:id="1">
    <w:p w:rsidR="009B7A3E" w:rsidRDefault="009B7A3E" w:rsidP="00F475F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3E" w:rsidRDefault="009B7A3E">
    <w:pPr>
      <w:pStyle w:val="Footer"/>
      <w:jc w:val="right"/>
    </w:pPr>
    <w:fldSimple w:instr=" PAGE   \* MERGEFORMAT ">
      <w:r w:rsidR="0053050D">
        <w:rPr>
          <w:noProof/>
        </w:rPr>
        <w:t>1</w:t>
      </w:r>
    </w:fldSimple>
  </w:p>
  <w:p w:rsidR="009B7A3E" w:rsidRDefault="009B7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A3E" w:rsidRDefault="009B7A3E" w:rsidP="00F475F7">
      <w:r>
        <w:separator/>
      </w:r>
    </w:p>
  </w:footnote>
  <w:footnote w:type="continuationSeparator" w:id="1">
    <w:p w:rsidR="009B7A3E" w:rsidRDefault="009B7A3E" w:rsidP="00F475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6C3A48"/>
    <w:lvl w:ilvl="0">
      <w:numFmt w:val="bullet"/>
      <w:lvlText w:val="*"/>
      <w:lvlJc w:val="left"/>
    </w:lvl>
  </w:abstractNum>
  <w:abstractNum w:abstractNumId="1">
    <w:nsid w:val="18FB0049"/>
    <w:multiLevelType w:val="hybridMultilevel"/>
    <w:tmpl w:val="18640E7C"/>
    <w:lvl w:ilvl="0" w:tplc="0C090003">
      <w:start w:val="1"/>
      <w:numFmt w:val="bullet"/>
      <w:lvlText w:val="o"/>
      <w:lvlJc w:val="left"/>
      <w:pPr>
        <w:tabs>
          <w:tab w:val="num" w:pos="1200"/>
        </w:tabs>
        <w:ind w:left="1200" w:hanging="360"/>
      </w:pPr>
      <w:rPr>
        <w:rFonts w:ascii="Courier New" w:hAnsi="Courier New" w:cs="Courier New" w:hint="default"/>
      </w:rPr>
    </w:lvl>
    <w:lvl w:ilvl="1" w:tplc="0C090003" w:tentative="1">
      <w:start w:val="1"/>
      <w:numFmt w:val="bullet"/>
      <w:lvlText w:val="o"/>
      <w:lvlJc w:val="left"/>
      <w:pPr>
        <w:tabs>
          <w:tab w:val="num" w:pos="1920"/>
        </w:tabs>
        <w:ind w:left="1920" w:hanging="360"/>
      </w:pPr>
      <w:rPr>
        <w:rFonts w:ascii="Courier New" w:hAnsi="Courier New" w:cs="Courier New" w:hint="default"/>
      </w:rPr>
    </w:lvl>
    <w:lvl w:ilvl="2" w:tplc="0C090005" w:tentative="1">
      <w:start w:val="1"/>
      <w:numFmt w:val="bullet"/>
      <w:lvlText w:val=""/>
      <w:lvlJc w:val="left"/>
      <w:pPr>
        <w:tabs>
          <w:tab w:val="num" w:pos="2640"/>
        </w:tabs>
        <w:ind w:left="2640" w:hanging="360"/>
      </w:pPr>
      <w:rPr>
        <w:rFonts w:ascii="Wingdings" w:hAnsi="Wingdings" w:hint="default"/>
      </w:rPr>
    </w:lvl>
    <w:lvl w:ilvl="3" w:tplc="0C090001" w:tentative="1">
      <w:start w:val="1"/>
      <w:numFmt w:val="bullet"/>
      <w:lvlText w:val=""/>
      <w:lvlJc w:val="left"/>
      <w:pPr>
        <w:tabs>
          <w:tab w:val="num" w:pos="3360"/>
        </w:tabs>
        <w:ind w:left="3360" w:hanging="360"/>
      </w:pPr>
      <w:rPr>
        <w:rFonts w:ascii="Symbol" w:hAnsi="Symbol" w:hint="default"/>
      </w:rPr>
    </w:lvl>
    <w:lvl w:ilvl="4" w:tplc="0C090003" w:tentative="1">
      <w:start w:val="1"/>
      <w:numFmt w:val="bullet"/>
      <w:lvlText w:val="o"/>
      <w:lvlJc w:val="left"/>
      <w:pPr>
        <w:tabs>
          <w:tab w:val="num" w:pos="4080"/>
        </w:tabs>
        <w:ind w:left="4080" w:hanging="360"/>
      </w:pPr>
      <w:rPr>
        <w:rFonts w:ascii="Courier New" w:hAnsi="Courier New" w:cs="Courier New" w:hint="default"/>
      </w:rPr>
    </w:lvl>
    <w:lvl w:ilvl="5" w:tplc="0C090005" w:tentative="1">
      <w:start w:val="1"/>
      <w:numFmt w:val="bullet"/>
      <w:lvlText w:val=""/>
      <w:lvlJc w:val="left"/>
      <w:pPr>
        <w:tabs>
          <w:tab w:val="num" w:pos="4800"/>
        </w:tabs>
        <w:ind w:left="4800" w:hanging="360"/>
      </w:pPr>
      <w:rPr>
        <w:rFonts w:ascii="Wingdings" w:hAnsi="Wingdings" w:hint="default"/>
      </w:rPr>
    </w:lvl>
    <w:lvl w:ilvl="6" w:tplc="0C090001" w:tentative="1">
      <w:start w:val="1"/>
      <w:numFmt w:val="bullet"/>
      <w:lvlText w:val=""/>
      <w:lvlJc w:val="left"/>
      <w:pPr>
        <w:tabs>
          <w:tab w:val="num" w:pos="5520"/>
        </w:tabs>
        <w:ind w:left="5520" w:hanging="360"/>
      </w:pPr>
      <w:rPr>
        <w:rFonts w:ascii="Symbol" w:hAnsi="Symbol" w:hint="default"/>
      </w:rPr>
    </w:lvl>
    <w:lvl w:ilvl="7" w:tplc="0C090003" w:tentative="1">
      <w:start w:val="1"/>
      <w:numFmt w:val="bullet"/>
      <w:lvlText w:val="o"/>
      <w:lvlJc w:val="left"/>
      <w:pPr>
        <w:tabs>
          <w:tab w:val="num" w:pos="6240"/>
        </w:tabs>
        <w:ind w:left="6240" w:hanging="360"/>
      </w:pPr>
      <w:rPr>
        <w:rFonts w:ascii="Courier New" w:hAnsi="Courier New" w:cs="Courier New" w:hint="default"/>
      </w:rPr>
    </w:lvl>
    <w:lvl w:ilvl="8" w:tplc="0C090005" w:tentative="1">
      <w:start w:val="1"/>
      <w:numFmt w:val="bullet"/>
      <w:lvlText w:val=""/>
      <w:lvlJc w:val="left"/>
      <w:pPr>
        <w:tabs>
          <w:tab w:val="num" w:pos="6960"/>
        </w:tabs>
        <w:ind w:left="6960" w:hanging="360"/>
      </w:pPr>
      <w:rPr>
        <w:rFonts w:ascii="Wingdings" w:hAnsi="Wingdings" w:hint="default"/>
      </w:rPr>
    </w:lvl>
  </w:abstractNum>
  <w:abstractNum w:abstractNumId="2">
    <w:nsid w:val="1B7E5684"/>
    <w:multiLevelType w:val="hybridMultilevel"/>
    <w:tmpl w:val="AEA2FE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C39450A"/>
    <w:multiLevelType w:val="singleLevel"/>
    <w:tmpl w:val="43348CF8"/>
    <w:lvl w:ilvl="0">
      <w:start w:val="1"/>
      <w:numFmt w:val="decimal"/>
      <w:lvlText w:val="%1J."/>
      <w:legacy w:legacy="1" w:legacySpace="170" w:legacyIndent="510"/>
      <w:lvlJc w:val="left"/>
      <w:pPr>
        <w:ind w:left="510" w:hanging="510"/>
      </w:pPr>
      <w:rPr>
        <w:rFonts w:ascii="Arial" w:hAnsi="Arial" w:cs="Arial" w:hint="default"/>
        <w:sz w:val="24"/>
        <w:szCs w:val="24"/>
      </w:rPr>
    </w:lvl>
  </w:abstractNum>
  <w:abstractNum w:abstractNumId="4">
    <w:nsid w:val="47390FB0"/>
    <w:multiLevelType w:val="hybridMultilevel"/>
    <w:tmpl w:val="18BE9C0E"/>
    <w:lvl w:ilvl="0" w:tplc="0826F370">
      <w:start w:val="1"/>
      <w:numFmt w:val="bullet"/>
      <w:lvlText w:val=""/>
      <w:lvlJc w:val="left"/>
      <w:pPr>
        <w:ind w:left="720" w:hanging="360"/>
      </w:pPr>
      <w:rPr>
        <w:rFonts w:ascii="Symbol" w:hAnsi="Symbol" w:hint="default"/>
      </w:rPr>
    </w:lvl>
    <w:lvl w:ilvl="1" w:tplc="B57C0106" w:tentative="1">
      <w:start w:val="1"/>
      <w:numFmt w:val="bullet"/>
      <w:lvlText w:val="o"/>
      <w:lvlJc w:val="left"/>
      <w:pPr>
        <w:ind w:left="1440" w:hanging="360"/>
      </w:pPr>
      <w:rPr>
        <w:rFonts w:ascii="Courier New" w:hAnsi="Courier New" w:cs="Courier New" w:hint="default"/>
      </w:rPr>
    </w:lvl>
    <w:lvl w:ilvl="2" w:tplc="9092C31E" w:tentative="1">
      <w:start w:val="1"/>
      <w:numFmt w:val="bullet"/>
      <w:lvlText w:val=""/>
      <w:lvlJc w:val="left"/>
      <w:pPr>
        <w:ind w:left="2160" w:hanging="360"/>
      </w:pPr>
      <w:rPr>
        <w:rFonts w:ascii="Wingdings" w:hAnsi="Wingdings" w:hint="default"/>
      </w:rPr>
    </w:lvl>
    <w:lvl w:ilvl="3" w:tplc="D6ECCAFE" w:tentative="1">
      <w:start w:val="1"/>
      <w:numFmt w:val="bullet"/>
      <w:lvlText w:val=""/>
      <w:lvlJc w:val="left"/>
      <w:pPr>
        <w:ind w:left="2880" w:hanging="360"/>
      </w:pPr>
      <w:rPr>
        <w:rFonts w:ascii="Symbol" w:hAnsi="Symbol" w:hint="default"/>
      </w:rPr>
    </w:lvl>
    <w:lvl w:ilvl="4" w:tplc="E8FCA54C" w:tentative="1">
      <w:start w:val="1"/>
      <w:numFmt w:val="bullet"/>
      <w:lvlText w:val="o"/>
      <w:lvlJc w:val="left"/>
      <w:pPr>
        <w:ind w:left="3600" w:hanging="360"/>
      </w:pPr>
      <w:rPr>
        <w:rFonts w:ascii="Courier New" w:hAnsi="Courier New" w:cs="Courier New" w:hint="default"/>
      </w:rPr>
    </w:lvl>
    <w:lvl w:ilvl="5" w:tplc="F5545562" w:tentative="1">
      <w:start w:val="1"/>
      <w:numFmt w:val="bullet"/>
      <w:lvlText w:val=""/>
      <w:lvlJc w:val="left"/>
      <w:pPr>
        <w:ind w:left="4320" w:hanging="360"/>
      </w:pPr>
      <w:rPr>
        <w:rFonts w:ascii="Wingdings" w:hAnsi="Wingdings" w:hint="default"/>
      </w:rPr>
    </w:lvl>
    <w:lvl w:ilvl="6" w:tplc="E56E6584" w:tentative="1">
      <w:start w:val="1"/>
      <w:numFmt w:val="bullet"/>
      <w:lvlText w:val=""/>
      <w:lvlJc w:val="left"/>
      <w:pPr>
        <w:ind w:left="5040" w:hanging="360"/>
      </w:pPr>
      <w:rPr>
        <w:rFonts w:ascii="Symbol" w:hAnsi="Symbol" w:hint="default"/>
      </w:rPr>
    </w:lvl>
    <w:lvl w:ilvl="7" w:tplc="15C0B0AC" w:tentative="1">
      <w:start w:val="1"/>
      <w:numFmt w:val="bullet"/>
      <w:lvlText w:val="o"/>
      <w:lvlJc w:val="left"/>
      <w:pPr>
        <w:ind w:left="5760" w:hanging="360"/>
      </w:pPr>
      <w:rPr>
        <w:rFonts w:ascii="Courier New" w:hAnsi="Courier New" w:cs="Courier New" w:hint="default"/>
      </w:rPr>
    </w:lvl>
    <w:lvl w:ilvl="8" w:tplc="5C7A06DC" w:tentative="1">
      <w:start w:val="1"/>
      <w:numFmt w:val="bullet"/>
      <w:lvlText w:val=""/>
      <w:lvlJc w:val="left"/>
      <w:pPr>
        <w:ind w:left="6480" w:hanging="360"/>
      </w:pPr>
      <w:rPr>
        <w:rFonts w:ascii="Wingdings" w:hAnsi="Wingdings" w:hint="default"/>
      </w:rPr>
    </w:lvl>
  </w:abstractNum>
  <w:abstractNum w:abstractNumId="5">
    <w:nsid w:val="476413EF"/>
    <w:multiLevelType w:val="hybridMultilevel"/>
    <w:tmpl w:val="C92C2044"/>
    <w:lvl w:ilvl="0" w:tplc="072091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4E45BF"/>
    <w:multiLevelType w:val="multilevel"/>
    <w:tmpl w:val="DB54CC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E666CFB"/>
    <w:multiLevelType w:val="multilevel"/>
    <w:tmpl w:val="1FBA882A"/>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1077"/>
        </w:tabs>
        <w:ind w:left="510" w:hanging="510"/>
      </w:pPr>
      <w:rPr>
        <w:rFonts w:hint="default"/>
      </w:rPr>
    </w:lvl>
    <w:lvl w:ilvl="2">
      <w:start w:val="1"/>
      <w:numFmt w:val="decimal"/>
      <w:lvlText w:val="%1.%2.%3."/>
      <w:lvlJc w:val="left"/>
      <w:pPr>
        <w:tabs>
          <w:tab w:val="num" w:pos="1800"/>
        </w:tabs>
        <w:ind w:left="864" w:hanging="86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8">
    <w:nsid w:val="5C515016"/>
    <w:multiLevelType w:val="hybridMultilevel"/>
    <w:tmpl w:val="3C7828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E1F10E3"/>
    <w:multiLevelType w:val="hybridMultilevel"/>
    <w:tmpl w:val="25D837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D871483"/>
    <w:multiLevelType w:val="multilevel"/>
    <w:tmpl w:val="24C06750"/>
    <w:lvl w:ilvl="0">
      <w:start w:val="1"/>
      <w:numFmt w:val="decimal"/>
      <w:lvlText w:val="%1."/>
      <w:lvlJc w:val="left"/>
      <w:pPr>
        <w:tabs>
          <w:tab w:val="num" w:pos="360"/>
        </w:tabs>
        <w:ind w:left="0" w:hanging="360"/>
      </w:pPr>
      <w:rPr>
        <w:rFonts w:hint="default"/>
      </w:rPr>
    </w:lvl>
    <w:lvl w:ilvl="1">
      <w:start w:val="1"/>
      <w:numFmt w:val="decimal"/>
      <w:pStyle w:val="Heading2"/>
      <w:lvlText w:val="%1.%2"/>
      <w:lvlJc w:val="left"/>
      <w:pPr>
        <w:tabs>
          <w:tab w:val="num" w:pos="1080"/>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11">
    <w:nsid w:val="700F46EF"/>
    <w:multiLevelType w:val="hybridMultilevel"/>
    <w:tmpl w:val="0F3A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2"/>
  </w:num>
  <w:num w:numId="4">
    <w:abstractNumId w:val="4"/>
  </w:num>
  <w:num w:numId="5">
    <w:abstractNumId w:val="0"/>
    <w:lvlOverride w:ilvl="0">
      <w:lvl w:ilvl="0">
        <w:numFmt w:val="bullet"/>
        <w:lvlText w:val=""/>
        <w:legacy w:legacy="1" w:legacySpace="0" w:legacyIndent="0"/>
        <w:lvlJc w:val="left"/>
        <w:rPr>
          <w:rFonts w:ascii="Wingdings" w:hAnsi="Wingdings" w:hint="default"/>
          <w:sz w:val="34"/>
        </w:rPr>
      </w:lvl>
    </w:lvlOverride>
  </w:num>
  <w:num w:numId="6">
    <w:abstractNumId w:val="6"/>
  </w:num>
  <w:num w:numId="7">
    <w:abstractNumId w:val="3"/>
  </w:num>
  <w:num w:numId="8">
    <w:abstractNumId w:val="1"/>
  </w:num>
  <w:num w:numId="9">
    <w:abstractNumId w:val="9"/>
  </w:num>
  <w:num w:numId="10">
    <w:abstractNumId w:val="8"/>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20"/>
  <w:characterSpacingControl w:val="doNotCompress"/>
  <w:footnotePr>
    <w:footnote w:id="0"/>
    <w:footnote w:id="1"/>
  </w:footnotePr>
  <w:endnotePr>
    <w:endnote w:id="0"/>
    <w:endnote w:id="1"/>
  </w:endnotePr>
  <w:compat/>
  <w:rsids>
    <w:rsidRoot w:val="00495F7D"/>
    <w:rsid w:val="00031B3B"/>
    <w:rsid w:val="00046877"/>
    <w:rsid w:val="000B4203"/>
    <w:rsid w:val="000C379B"/>
    <w:rsid w:val="000C5F15"/>
    <w:rsid w:val="000D2A94"/>
    <w:rsid w:val="000F1965"/>
    <w:rsid w:val="001A4884"/>
    <w:rsid w:val="001C2922"/>
    <w:rsid w:val="001D347A"/>
    <w:rsid w:val="001F0047"/>
    <w:rsid w:val="002134D7"/>
    <w:rsid w:val="002307F9"/>
    <w:rsid w:val="00243568"/>
    <w:rsid w:val="003129DC"/>
    <w:rsid w:val="003C45D8"/>
    <w:rsid w:val="00495F7D"/>
    <w:rsid w:val="004965FD"/>
    <w:rsid w:val="004C37C3"/>
    <w:rsid w:val="004D3772"/>
    <w:rsid w:val="005035E3"/>
    <w:rsid w:val="0053050D"/>
    <w:rsid w:val="0055243C"/>
    <w:rsid w:val="00552CA7"/>
    <w:rsid w:val="00612BAA"/>
    <w:rsid w:val="00623D7B"/>
    <w:rsid w:val="0066489A"/>
    <w:rsid w:val="006F26B4"/>
    <w:rsid w:val="006F32C5"/>
    <w:rsid w:val="00704504"/>
    <w:rsid w:val="00732534"/>
    <w:rsid w:val="007A4F4B"/>
    <w:rsid w:val="00835B42"/>
    <w:rsid w:val="00842F28"/>
    <w:rsid w:val="00847A38"/>
    <w:rsid w:val="008F5500"/>
    <w:rsid w:val="009B7A3E"/>
    <w:rsid w:val="00A12FF8"/>
    <w:rsid w:val="00A6178E"/>
    <w:rsid w:val="00AB2EE7"/>
    <w:rsid w:val="00AE4ADA"/>
    <w:rsid w:val="00AF1233"/>
    <w:rsid w:val="00B01EE2"/>
    <w:rsid w:val="00B75002"/>
    <w:rsid w:val="00B868EA"/>
    <w:rsid w:val="00BE73C2"/>
    <w:rsid w:val="00C0524C"/>
    <w:rsid w:val="00C10360"/>
    <w:rsid w:val="00CA335D"/>
    <w:rsid w:val="00CB5EEC"/>
    <w:rsid w:val="00D3122F"/>
    <w:rsid w:val="00D53241"/>
    <w:rsid w:val="00E55BE6"/>
    <w:rsid w:val="00EA3B73"/>
    <w:rsid w:val="00F06753"/>
    <w:rsid w:val="00F32FEC"/>
    <w:rsid w:val="00F475F7"/>
    <w:rsid w:val="00FE7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F7"/>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autoRedefine/>
    <w:qFormat/>
    <w:rsid w:val="00F475F7"/>
    <w:pPr>
      <w:keepNext/>
      <w:spacing w:before="240" w:after="60" w:line="480" w:lineRule="auto"/>
      <w:outlineLvl w:val="0"/>
    </w:pPr>
    <w:rPr>
      <w:rFonts w:cs="Arial"/>
      <w:b/>
      <w:bCs/>
      <w:kern w:val="32"/>
      <w:sz w:val="28"/>
      <w:szCs w:val="32"/>
    </w:rPr>
  </w:style>
  <w:style w:type="paragraph" w:styleId="Heading2">
    <w:name w:val="heading 2"/>
    <w:basedOn w:val="Normal"/>
    <w:next w:val="Normal"/>
    <w:link w:val="Heading2Char1"/>
    <w:autoRedefine/>
    <w:qFormat/>
    <w:rsid w:val="00F475F7"/>
    <w:pPr>
      <w:keepNext/>
      <w:numPr>
        <w:ilvl w:val="1"/>
        <w:numId w:val="2"/>
      </w:numPr>
      <w:spacing w:before="240" w:after="60"/>
      <w:outlineLvl w:val="1"/>
    </w:pPr>
    <w:rPr>
      <w:rFonts w:cs="Arial"/>
      <w:b/>
      <w:bCs/>
      <w:iCs/>
      <w:szCs w:val="28"/>
    </w:rPr>
  </w:style>
  <w:style w:type="paragraph" w:styleId="Heading3">
    <w:name w:val="heading 3"/>
    <w:basedOn w:val="Normal"/>
    <w:next w:val="Normal"/>
    <w:link w:val="Heading3Char"/>
    <w:qFormat/>
    <w:rsid w:val="00F475F7"/>
    <w:pPr>
      <w:keepNext/>
      <w:tabs>
        <w:tab w:val="num" w:pos="720"/>
      </w:tabs>
      <w:spacing w:before="240" w:after="60"/>
      <w:ind w:left="720" w:hanging="720"/>
      <w:outlineLvl w:val="2"/>
    </w:pPr>
    <w:rPr>
      <w:rFonts w:cs="Arial"/>
      <w:b/>
      <w:bCs/>
      <w:szCs w:val="26"/>
      <w:lang w:eastAsia="en-AU"/>
    </w:rPr>
  </w:style>
  <w:style w:type="paragraph" w:styleId="Heading4">
    <w:name w:val="heading 4"/>
    <w:basedOn w:val="Normal"/>
    <w:next w:val="Normal"/>
    <w:link w:val="Heading4Char"/>
    <w:qFormat/>
    <w:rsid w:val="00F475F7"/>
    <w:pPr>
      <w:keepNext/>
      <w:tabs>
        <w:tab w:val="num" w:pos="864"/>
      </w:tabs>
      <w:spacing w:before="240" w:after="60"/>
      <w:ind w:left="864" w:hanging="864"/>
      <w:outlineLvl w:val="3"/>
    </w:pPr>
    <w:rPr>
      <w:b/>
      <w:bCs/>
      <w:sz w:val="28"/>
      <w:szCs w:val="28"/>
      <w:lang w:eastAsia="en-AU"/>
    </w:rPr>
  </w:style>
  <w:style w:type="paragraph" w:styleId="Heading5">
    <w:name w:val="heading 5"/>
    <w:basedOn w:val="Normal"/>
    <w:next w:val="Normal"/>
    <w:link w:val="Heading5Char"/>
    <w:qFormat/>
    <w:rsid w:val="00F475F7"/>
    <w:pPr>
      <w:tabs>
        <w:tab w:val="num" w:pos="1008"/>
      </w:tabs>
      <w:spacing w:before="240" w:after="60"/>
      <w:ind w:left="1008" w:hanging="1008"/>
      <w:outlineLvl w:val="4"/>
    </w:pPr>
    <w:rPr>
      <w:b/>
      <w:bCs/>
      <w:i/>
      <w:iCs/>
      <w:sz w:val="26"/>
      <w:szCs w:val="26"/>
      <w:lang w:eastAsia="en-AU"/>
    </w:rPr>
  </w:style>
  <w:style w:type="paragraph" w:styleId="Heading6">
    <w:name w:val="heading 6"/>
    <w:basedOn w:val="Normal"/>
    <w:next w:val="Normal"/>
    <w:link w:val="Heading6Char"/>
    <w:qFormat/>
    <w:rsid w:val="00F475F7"/>
    <w:pPr>
      <w:tabs>
        <w:tab w:val="num" w:pos="1152"/>
      </w:tabs>
      <w:spacing w:before="240" w:after="60"/>
      <w:ind w:left="1152" w:hanging="1152"/>
      <w:outlineLvl w:val="5"/>
    </w:pPr>
    <w:rPr>
      <w:b/>
      <w:bCs/>
      <w:sz w:val="22"/>
      <w:szCs w:val="22"/>
      <w:lang w:eastAsia="en-AU"/>
    </w:rPr>
  </w:style>
  <w:style w:type="paragraph" w:styleId="Heading7">
    <w:name w:val="heading 7"/>
    <w:basedOn w:val="Normal"/>
    <w:next w:val="Normal"/>
    <w:link w:val="Heading7Char"/>
    <w:qFormat/>
    <w:rsid w:val="00F475F7"/>
    <w:pPr>
      <w:tabs>
        <w:tab w:val="num" w:pos="1296"/>
      </w:tabs>
      <w:spacing w:before="240" w:after="60"/>
      <w:ind w:left="1296" w:hanging="1296"/>
      <w:outlineLvl w:val="6"/>
    </w:pPr>
    <w:rPr>
      <w:szCs w:val="24"/>
      <w:lang w:eastAsia="en-AU"/>
    </w:rPr>
  </w:style>
  <w:style w:type="paragraph" w:styleId="Heading8">
    <w:name w:val="heading 8"/>
    <w:basedOn w:val="Normal"/>
    <w:next w:val="Normal"/>
    <w:link w:val="Heading8Char"/>
    <w:qFormat/>
    <w:rsid w:val="00F475F7"/>
    <w:pPr>
      <w:tabs>
        <w:tab w:val="num" w:pos="1440"/>
      </w:tabs>
      <w:spacing w:before="240" w:after="60"/>
      <w:ind w:left="1440" w:hanging="1440"/>
      <w:outlineLvl w:val="7"/>
    </w:pPr>
    <w:rPr>
      <w:i/>
      <w:iCs/>
      <w:szCs w:val="24"/>
      <w:lang w:eastAsia="en-AU"/>
    </w:rPr>
  </w:style>
  <w:style w:type="paragraph" w:styleId="Heading9">
    <w:name w:val="heading 9"/>
    <w:basedOn w:val="Normal"/>
    <w:next w:val="Normal"/>
    <w:link w:val="Heading9Char"/>
    <w:qFormat/>
    <w:rsid w:val="00F475F7"/>
    <w:pPr>
      <w:tabs>
        <w:tab w:val="num" w:pos="1584"/>
      </w:tabs>
      <w:spacing w:before="240" w:after="60"/>
      <w:ind w:left="1584" w:hanging="158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5F7"/>
    <w:rPr>
      <w:rFonts w:ascii="Times New Roman" w:eastAsia="Times New Roman" w:hAnsi="Times New Roman" w:cs="Arial"/>
      <w:b/>
      <w:bCs/>
      <w:kern w:val="32"/>
      <w:sz w:val="28"/>
      <w:szCs w:val="32"/>
      <w:lang w:val="en-AU"/>
    </w:rPr>
  </w:style>
  <w:style w:type="character" w:customStyle="1" w:styleId="Heading2Char1">
    <w:name w:val="Heading 2 Char1"/>
    <w:basedOn w:val="DefaultParagraphFont"/>
    <w:link w:val="Heading2"/>
    <w:rsid w:val="00F475F7"/>
    <w:rPr>
      <w:rFonts w:ascii="Times New Roman" w:eastAsia="Times New Roman" w:hAnsi="Times New Roman" w:cs="Arial"/>
      <w:b/>
      <w:bCs/>
      <w:iCs/>
      <w:sz w:val="24"/>
      <w:szCs w:val="28"/>
      <w:lang w:val="en-AU"/>
    </w:rPr>
  </w:style>
  <w:style w:type="character" w:customStyle="1" w:styleId="Heading3Char">
    <w:name w:val="Heading 3 Char"/>
    <w:basedOn w:val="DefaultParagraphFont"/>
    <w:link w:val="Heading3"/>
    <w:rsid w:val="00F475F7"/>
    <w:rPr>
      <w:rFonts w:ascii="Times New Roman" w:eastAsia="Times New Roman" w:hAnsi="Times New Roman" w:cs="Arial"/>
      <w:b/>
      <w:bCs/>
      <w:sz w:val="24"/>
      <w:szCs w:val="26"/>
      <w:lang w:val="en-AU" w:eastAsia="en-AU"/>
    </w:rPr>
  </w:style>
  <w:style w:type="character" w:customStyle="1" w:styleId="Heading4Char">
    <w:name w:val="Heading 4 Char"/>
    <w:basedOn w:val="DefaultParagraphFont"/>
    <w:link w:val="Heading4"/>
    <w:rsid w:val="00F475F7"/>
    <w:rPr>
      <w:rFonts w:ascii="Times New Roman" w:eastAsia="Times New Roman" w:hAnsi="Times New Roman" w:cs="Times New Roman"/>
      <w:b/>
      <w:bCs/>
      <w:sz w:val="28"/>
      <w:szCs w:val="28"/>
      <w:lang w:val="en-AU" w:eastAsia="en-AU"/>
    </w:rPr>
  </w:style>
  <w:style w:type="character" w:customStyle="1" w:styleId="Heading5Char">
    <w:name w:val="Heading 5 Char"/>
    <w:basedOn w:val="DefaultParagraphFont"/>
    <w:link w:val="Heading5"/>
    <w:rsid w:val="00F475F7"/>
    <w:rPr>
      <w:rFonts w:ascii="Times New Roman" w:eastAsia="Times New Roman" w:hAnsi="Times New Roman" w:cs="Times New Roman"/>
      <w:b/>
      <w:bCs/>
      <w:i/>
      <w:iCs/>
      <w:sz w:val="26"/>
      <w:szCs w:val="26"/>
      <w:lang w:val="en-AU" w:eastAsia="en-AU"/>
    </w:rPr>
  </w:style>
  <w:style w:type="character" w:customStyle="1" w:styleId="Heading6Char">
    <w:name w:val="Heading 6 Char"/>
    <w:basedOn w:val="DefaultParagraphFont"/>
    <w:link w:val="Heading6"/>
    <w:rsid w:val="00F475F7"/>
    <w:rPr>
      <w:rFonts w:ascii="Times New Roman" w:eastAsia="Times New Roman" w:hAnsi="Times New Roman" w:cs="Times New Roman"/>
      <w:b/>
      <w:bCs/>
      <w:lang w:val="en-AU" w:eastAsia="en-AU"/>
    </w:rPr>
  </w:style>
  <w:style w:type="character" w:customStyle="1" w:styleId="Heading7Char">
    <w:name w:val="Heading 7 Char"/>
    <w:basedOn w:val="DefaultParagraphFont"/>
    <w:link w:val="Heading7"/>
    <w:rsid w:val="00F475F7"/>
    <w:rPr>
      <w:rFonts w:ascii="Times New Roman" w:eastAsia="Times New Roman" w:hAnsi="Times New Roman" w:cs="Times New Roman"/>
      <w:sz w:val="24"/>
      <w:szCs w:val="24"/>
      <w:lang w:val="en-AU" w:eastAsia="en-AU"/>
    </w:rPr>
  </w:style>
  <w:style w:type="character" w:customStyle="1" w:styleId="Heading8Char">
    <w:name w:val="Heading 8 Char"/>
    <w:basedOn w:val="DefaultParagraphFont"/>
    <w:link w:val="Heading8"/>
    <w:rsid w:val="00F475F7"/>
    <w:rPr>
      <w:rFonts w:ascii="Times New Roman" w:eastAsia="Times New Roman" w:hAnsi="Times New Roman" w:cs="Times New Roman"/>
      <w:i/>
      <w:iCs/>
      <w:sz w:val="24"/>
      <w:szCs w:val="24"/>
      <w:lang w:val="en-AU" w:eastAsia="en-AU"/>
    </w:rPr>
  </w:style>
  <w:style w:type="character" w:customStyle="1" w:styleId="Heading9Char">
    <w:name w:val="Heading 9 Char"/>
    <w:basedOn w:val="DefaultParagraphFont"/>
    <w:link w:val="Heading9"/>
    <w:rsid w:val="00F475F7"/>
    <w:rPr>
      <w:rFonts w:ascii="Arial" w:eastAsia="Times New Roman" w:hAnsi="Arial" w:cs="Arial"/>
      <w:lang w:val="en-AU" w:eastAsia="en-AU"/>
    </w:rPr>
  </w:style>
  <w:style w:type="character" w:customStyle="1" w:styleId="Heading2Char">
    <w:name w:val="Heading 2 Char"/>
    <w:basedOn w:val="DefaultParagraphFont"/>
    <w:link w:val="Heading2"/>
    <w:rsid w:val="00F475F7"/>
    <w:rPr>
      <w:rFonts w:asciiTheme="majorHAnsi" w:eastAsiaTheme="majorEastAsia" w:hAnsiTheme="majorHAnsi" w:cstheme="majorBidi"/>
      <w:b/>
      <w:bCs/>
      <w:color w:val="4F81BD" w:themeColor="accent1"/>
      <w:sz w:val="26"/>
      <w:szCs w:val="26"/>
      <w:lang w:val="en-AU"/>
    </w:rPr>
  </w:style>
  <w:style w:type="paragraph" w:customStyle="1" w:styleId="Style1">
    <w:name w:val="Style1"/>
    <w:basedOn w:val="Heading1"/>
    <w:rsid w:val="00F475F7"/>
    <w:pPr>
      <w:tabs>
        <w:tab w:val="num" w:pos="360"/>
      </w:tabs>
    </w:pPr>
    <w:rPr>
      <w:rFonts w:cs="Times New Roman"/>
      <w:kern w:val="0"/>
      <w:szCs w:val="20"/>
    </w:rPr>
  </w:style>
  <w:style w:type="paragraph" w:styleId="Caption">
    <w:name w:val="caption"/>
    <w:aliases w:val=" Char"/>
    <w:basedOn w:val="Normal"/>
    <w:next w:val="Normal"/>
    <w:link w:val="CaptionChar"/>
    <w:qFormat/>
    <w:rsid w:val="00F475F7"/>
    <w:rPr>
      <w:b/>
      <w:bCs/>
      <w:szCs w:val="24"/>
      <w:lang w:eastAsia="en-AU"/>
    </w:rPr>
  </w:style>
  <w:style w:type="character" w:customStyle="1" w:styleId="CaptionChar">
    <w:name w:val="Caption Char"/>
    <w:aliases w:val=" Char Char"/>
    <w:basedOn w:val="DefaultParagraphFont"/>
    <w:link w:val="Caption"/>
    <w:rsid w:val="00F475F7"/>
    <w:rPr>
      <w:rFonts w:ascii="Times New Roman" w:eastAsia="Times New Roman" w:hAnsi="Times New Roman" w:cs="Times New Roman"/>
      <w:b/>
      <w:bCs/>
      <w:sz w:val="24"/>
      <w:szCs w:val="24"/>
      <w:lang w:val="en-AU" w:eastAsia="en-AU"/>
    </w:rPr>
  </w:style>
  <w:style w:type="character" w:styleId="Hyperlink">
    <w:name w:val="Hyperlink"/>
    <w:basedOn w:val="DefaultParagraphFont"/>
    <w:rsid w:val="00F475F7"/>
    <w:rPr>
      <w:color w:val="0000FF"/>
      <w:u w:val="single"/>
    </w:rPr>
  </w:style>
  <w:style w:type="paragraph" w:styleId="FootnoteText">
    <w:name w:val="footnote text"/>
    <w:basedOn w:val="Normal"/>
    <w:link w:val="FootnoteTextChar"/>
    <w:rsid w:val="00F475F7"/>
    <w:rPr>
      <w:sz w:val="20"/>
    </w:rPr>
  </w:style>
  <w:style w:type="character" w:customStyle="1" w:styleId="FootnoteTextChar">
    <w:name w:val="Footnote Text Char"/>
    <w:basedOn w:val="DefaultParagraphFont"/>
    <w:link w:val="FootnoteText"/>
    <w:rsid w:val="00F475F7"/>
    <w:rPr>
      <w:rFonts w:ascii="Times New Roman" w:eastAsia="Times New Roman" w:hAnsi="Times New Roman" w:cs="Times New Roman"/>
      <w:sz w:val="20"/>
      <w:szCs w:val="20"/>
      <w:lang w:val="en-AU"/>
    </w:rPr>
  </w:style>
  <w:style w:type="character" w:styleId="FootnoteReference">
    <w:name w:val="footnote reference"/>
    <w:basedOn w:val="DefaultParagraphFont"/>
    <w:rsid w:val="00F475F7"/>
    <w:rPr>
      <w:vertAlign w:val="superscript"/>
    </w:rPr>
  </w:style>
  <w:style w:type="paragraph" w:styleId="Header">
    <w:name w:val="header"/>
    <w:basedOn w:val="Normal"/>
    <w:link w:val="HeaderChar"/>
    <w:rsid w:val="00F475F7"/>
    <w:pPr>
      <w:tabs>
        <w:tab w:val="center" w:pos="4513"/>
        <w:tab w:val="right" w:pos="9026"/>
      </w:tabs>
    </w:pPr>
  </w:style>
  <w:style w:type="character" w:customStyle="1" w:styleId="HeaderChar">
    <w:name w:val="Header Char"/>
    <w:basedOn w:val="DefaultParagraphFont"/>
    <w:link w:val="Header"/>
    <w:rsid w:val="00F475F7"/>
    <w:rPr>
      <w:rFonts w:ascii="Times New Roman" w:eastAsia="Times New Roman" w:hAnsi="Times New Roman" w:cs="Times New Roman"/>
      <w:sz w:val="24"/>
      <w:szCs w:val="20"/>
      <w:lang w:val="en-AU"/>
    </w:rPr>
  </w:style>
  <w:style w:type="paragraph" w:styleId="Footer">
    <w:name w:val="footer"/>
    <w:basedOn w:val="Normal"/>
    <w:link w:val="FooterChar"/>
    <w:uiPriority w:val="99"/>
    <w:rsid w:val="00F475F7"/>
    <w:pPr>
      <w:tabs>
        <w:tab w:val="center" w:pos="4513"/>
        <w:tab w:val="right" w:pos="9026"/>
      </w:tabs>
    </w:pPr>
  </w:style>
  <w:style w:type="character" w:customStyle="1" w:styleId="FooterChar">
    <w:name w:val="Footer Char"/>
    <w:basedOn w:val="DefaultParagraphFont"/>
    <w:link w:val="Footer"/>
    <w:uiPriority w:val="99"/>
    <w:rsid w:val="00F475F7"/>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F475F7"/>
    <w:pPr>
      <w:ind w:left="720"/>
    </w:pPr>
  </w:style>
  <w:style w:type="character" w:styleId="Strong">
    <w:name w:val="Strong"/>
    <w:basedOn w:val="DefaultParagraphFont"/>
    <w:qFormat/>
    <w:rsid w:val="00F475F7"/>
    <w:rPr>
      <w:b/>
      <w:bCs/>
    </w:rPr>
  </w:style>
  <w:style w:type="paragraph" w:styleId="BalloonText">
    <w:name w:val="Balloon Text"/>
    <w:basedOn w:val="Normal"/>
    <w:link w:val="BalloonTextChar"/>
    <w:semiHidden/>
    <w:rsid w:val="00F475F7"/>
    <w:rPr>
      <w:rFonts w:ascii="Tahoma" w:hAnsi="Tahoma" w:cs="Tahoma"/>
      <w:sz w:val="16"/>
      <w:szCs w:val="16"/>
    </w:rPr>
  </w:style>
  <w:style w:type="character" w:customStyle="1" w:styleId="BalloonTextChar">
    <w:name w:val="Balloon Text Char"/>
    <w:basedOn w:val="DefaultParagraphFont"/>
    <w:link w:val="BalloonText"/>
    <w:semiHidden/>
    <w:rsid w:val="00F475F7"/>
    <w:rPr>
      <w:rFonts w:ascii="Tahoma" w:eastAsia="Times New Roman" w:hAnsi="Tahoma" w:cs="Tahoma"/>
      <w:sz w:val="16"/>
      <w:szCs w:val="16"/>
      <w:lang w:val="en-AU"/>
    </w:rPr>
  </w:style>
  <w:style w:type="character" w:styleId="CommentReference">
    <w:name w:val="annotation reference"/>
    <w:basedOn w:val="DefaultParagraphFont"/>
    <w:semiHidden/>
    <w:rsid w:val="00F475F7"/>
    <w:rPr>
      <w:sz w:val="16"/>
      <w:szCs w:val="16"/>
    </w:rPr>
  </w:style>
  <w:style w:type="character" w:customStyle="1" w:styleId="CommentTextChar">
    <w:name w:val="Comment Text Char"/>
    <w:basedOn w:val="DefaultParagraphFont"/>
    <w:link w:val="CommentText"/>
    <w:semiHidden/>
    <w:rsid w:val="00F475F7"/>
    <w:rPr>
      <w:rFonts w:ascii="Times New Roman" w:eastAsia="Times New Roman" w:hAnsi="Times New Roman" w:cs="Times New Roman"/>
      <w:sz w:val="20"/>
      <w:szCs w:val="20"/>
      <w:lang w:val="en-AU"/>
    </w:rPr>
  </w:style>
  <w:style w:type="paragraph" w:styleId="CommentText">
    <w:name w:val="annotation text"/>
    <w:basedOn w:val="Normal"/>
    <w:link w:val="CommentTextChar"/>
    <w:semiHidden/>
    <w:rsid w:val="00F475F7"/>
    <w:rPr>
      <w:sz w:val="20"/>
    </w:rPr>
  </w:style>
  <w:style w:type="character" w:customStyle="1" w:styleId="CommentSubjectChar">
    <w:name w:val="Comment Subject Char"/>
    <w:basedOn w:val="CommentTextChar"/>
    <w:link w:val="CommentSubject"/>
    <w:semiHidden/>
    <w:rsid w:val="00F475F7"/>
    <w:rPr>
      <w:b/>
      <w:bCs/>
    </w:rPr>
  </w:style>
  <w:style w:type="paragraph" w:styleId="CommentSubject">
    <w:name w:val="annotation subject"/>
    <w:basedOn w:val="CommentText"/>
    <w:next w:val="CommentText"/>
    <w:link w:val="CommentSubjectChar"/>
    <w:semiHidden/>
    <w:rsid w:val="00F475F7"/>
    <w:rPr>
      <w:b/>
      <w:bCs/>
    </w:rPr>
  </w:style>
  <w:style w:type="paragraph" w:styleId="EndnoteText">
    <w:name w:val="endnote text"/>
    <w:basedOn w:val="Normal"/>
    <w:link w:val="EndnoteTextChar"/>
    <w:rsid w:val="00F475F7"/>
    <w:rPr>
      <w:sz w:val="20"/>
      <w:lang w:eastAsia="en-AU"/>
    </w:rPr>
  </w:style>
  <w:style w:type="character" w:customStyle="1" w:styleId="EndnoteTextChar">
    <w:name w:val="Endnote Text Char"/>
    <w:basedOn w:val="DefaultParagraphFont"/>
    <w:link w:val="EndnoteText"/>
    <w:rsid w:val="00F475F7"/>
    <w:rPr>
      <w:rFonts w:ascii="Times New Roman" w:eastAsia="Times New Roman" w:hAnsi="Times New Roman" w:cs="Times New Roman"/>
      <w:sz w:val="20"/>
      <w:szCs w:val="20"/>
      <w:lang w:val="en-AU" w:eastAsia="en-AU"/>
    </w:rPr>
  </w:style>
  <w:style w:type="character" w:styleId="EndnoteReference">
    <w:name w:val="endnote reference"/>
    <w:basedOn w:val="DefaultParagraphFont"/>
    <w:rsid w:val="00F475F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196" Type="http://schemas.openxmlformats.org/officeDocument/2006/relationships/oleObject" Target="embeddings/oleObject95.bin"/><Relationship Id="rId200" Type="http://schemas.openxmlformats.org/officeDocument/2006/relationships/image" Target="media/image98.emf"/><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5.emf"/><Relationship Id="rId201"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image" Target="media/image96.emf"/><Relationship Id="rId172" Type="http://schemas.openxmlformats.org/officeDocument/2006/relationships/oleObject" Target="embeddings/oleObject83.bin"/><Relationship Id="rId193" Type="http://schemas.openxmlformats.org/officeDocument/2006/relationships/image" Target="media/image93.wmf"/><Relationship Id="rId20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image" Target="media/image97.emf"/><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58094-F95E-44D7-A079-6DE9E7A1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92</cp:revision>
  <dcterms:created xsi:type="dcterms:W3CDTF">2016-11-07T09:29:00Z</dcterms:created>
  <dcterms:modified xsi:type="dcterms:W3CDTF">2016-11-24T05:27:00Z</dcterms:modified>
</cp:coreProperties>
</file>